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F0891" w14:textId="797A562B" w:rsidR="00764D6A" w:rsidRDefault="001E6B6C" w:rsidP="00E566CA">
      <w:pPr>
        <w:pStyle w:val="Heading1"/>
      </w:pPr>
      <w:r w:rsidRPr="001E6B6C">
        <w:t>National Biosecurity Strategy Action Plan 2024: Connected, Resilient, Shared</w:t>
      </w:r>
    </w:p>
    <w:p w14:paraId="03BB61D7" w14:textId="46A52E20" w:rsidR="001E6B6C" w:rsidRPr="001E6B6C" w:rsidRDefault="001E6B6C" w:rsidP="001E6B6C">
      <w:r w:rsidRPr="00ED27D0">
        <w:rPr>
          <w:noProof/>
        </w:rPr>
        <w:drawing>
          <wp:inline distT="0" distB="0" distL="0" distR="0" wp14:anchorId="49E7643B" wp14:editId="2416F422">
            <wp:extent cx="4486275" cy="4752975"/>
            <wp:effectExtent l="0" t="0" r="9525"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6275" cy="4752975"/>
                    </a:xfrm>
                    <a:prstGeom prst="rect">
                      <a:avLst/>
                    </a:prstGeom>
                    <a:noFill/>
                    <a:ln>
                      <a:noFill/>
                    </a:ln>
                  </pic:spPr>
                </pic:pic>
              </a:graphicData>
            </a:graphic>
          </wp:inline>
        </w:drawing>
      </w:r>
    </w:p>
    <w:p w14:paraId="42F5571E" w14:textId="77777777" w:rsidR="00764D6A" w:rsidRDefault="00E91D72">
      <w:pPr>
        <w:pStyle w:val="Normalsmall"/>
      </w:pPr>
      <w:r>
        <w:br w:type="page"/>
      </w:r>
      <w:r>
        <w:lastRenderedPageBreak/>
        <w:t xml:space="preserve">© Commonwealth of Australia </w:t>
      </w:r>
      <w:r w:rsidR="00B97E61">
        <w:t>202</w:t>
      </w:r>
      <w:r w:rsidR="0071381A">
        <w:t>4</w:t>
      </w:r>
    </w:p>
    <w:p w14:paraId="591BFDC7" w14:textId="77777777" w:rsidR="00764D6A" w:rsidRDefault="00E91D72">
      <w:pPr>
        <w:pStyle w:val="Normalsmall"/>
        <w:rPr>
          <w:rStyle w:val="Strong"/>
        </w:rPr>
      </w:pPr>
      <w:r>
        <w:rPr>
          <w:rStyle w:val="Strong"/>
        </w:rPr>
        <w:t>Ownership of intellectual property rights</w:t>
      </w:r>
    </w:p>
    <w:p w14:paraId="21E39A01"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397E29E" w14:textId="77777777" w:rsidR="00764D6A" w:rsidRDefault="00E91D72">
      <w:pPr>
        <w:pStyle w:val="Normalsmall"/>
        <w:rPr>
          <w:rStyle w:val="Strong"/>
        </w:rPr>
      </w:pPr>
      <w:r>
        <w:rPr>
          <w:rStyle w:val="Strong"/>
        </w:rPr>
        <w:t>Creative Commons licence</w:t>
      </w:r>
    </w:p>
    <w:p w14:paraId="64DDA176"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5881272" w14:textId="77777777" w:rsidR="00764D6A" w:rsidRPr="00364A4A" w:rsidRDefault="00E91D72">
      <w:pPr>
        <w:pStyle w:val="Normalsmall"/>
      </w:pPr>
      <w:r w:rsidRPr="00364A4A">
        <w:rPr>
          <w:noProof/>
          <w:lang w:eastAsia="en-AU"/>
        </w:rPr>
        <w:drawing>
          <wp:inline distT="0" distB="0" distL="0" distR="0" wp14:anchorId="3BA3F5B8" wp14:editId="1C167A33">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0386C70" w14:textId="77777777" w:rsidR="00764D6A" w:rsidRPr="00364A4A" w:rsidRDefault="00E91D72">
      <w:pPr>
        <w:pStyle w:val="Normalsmall"/>
        <w:rPr>
          <w:rStyle w:val="Strong"/>
        </w:rPr>
      </w:pPr>
      <w:r w:rsidRPr="00364A4A">
        <w:rPr>
          <w:rStyle w:val="Strong"/>
        </w:rPr>
        <w:t>Cataloguing data</w:t>
      </w:r>
    </w:p>
    <w:p w14:paraId="3FA4FA66" w14:textId="09280CC9" w:rsidR="00764D6A" w:rsidRPr="001E6B6C" w:rsidRDefault="00E91D72">
      <w:pPr>
        <w:pStyle w:val="Normalsmall"/>
      </w:pPr>
      <w:r w:rsidRPr="00364A4A">
        <w:t xml:space="preserve">This publication (and any material sourced from it) should be attributed as: </w:t>
      </w:r>
      <w:r w:rsidR="001E6B6C" w:rsidRPr="001E6B6C">
        <w:t xml:space="preserve">Commonwealth of Australia 2024, </w:t>
      </w:r>
      <w:r w:rsidR="001E6B6C" w:rsidRPr="001E6B6C">
        <w:rPr>
          <w:rStyle w:val="Emphasis"/>
        </w:rPr>
        <w:t>National Biosecurity Strategy Action Plan 2024: Connected, Resilient, Shared</w:t>
      </w:r>
      <w:r w:rsidR="001E6B6C" w:rsidRPr="001E6B6C">
        <w:t>, National Biosecurity Strategy Implementation Committee</w:t>
      </w:r>
      <w:r>
        <w:t>, Canberra</w:t>
      </w:r>
      <w:r w:rsidR="001E6B6C">
        <w:t>.</w:t>
      </w:r>
      <w:r>
        <w:t xml:space="preserve"> </w:t>
      </w:r>
      <w:r w:rsidRPr="001E6B6C">
        <w:t>CC BY 4.0.</w:t>
      </w:r>
    </w:p>
    <w:p w14:paraId="372702AE" w14:textId="0C39FDE5" w:rsidR="00764D6A" w:rsidRDefault="00E91D72">
      <w:pPr>
        <w:pStyle w:val="Normalsmall"/>
      </w:pPr>
      <w:r w:rsidRPr="001E6B6C">
        <w:t xml:space="preserve">This publication is available at </w:t>
      </w:r>
      <w:hyperlink r:id="rId14" w:history="1">
        <w:r w:rsidR="001E6B6C" w:rsidRPr="001E6B6C">
          <w:rPr>
            <w:rStyle w:val="Hyperlink"/>
          </w:rPr>
          <w:t>biosecurity.gov.au/about/national-biosecurity-committee/nbs</w:t>
        </w:r>
      </w:hyperlink>
      <w:r w:rsidRPr="001E6B6C">
        <w:t>.</w:t>
      </w:r>
    </w:p>
    <w:p w14:paraId="6E9EAF11" w14:textId="77777777" w:rsidR="00DE0AAE" w:rsidRDefault="00DE0AAE">
      <w:pPr>
        <w:pStyle w:val="Normalsmall"/>
        <w:spacing w:after="0"/>
      </w:pPr>
      <w:r w:rsidRPr="00DE0AAE">
        <w:t>Department of Agriculture, Fisheries and Forestry</w:t>
      </w:r>
    </w:p>
    <w:p w14:paraId="58AF018E" w14:textId="77777777" w:rsidR="00764D6A" w:rsidRPr="00364A4A" w:rsidRDefault="00E91D72">
      <w:pPr>
        <w:pStyle w:val="Normalsmall"/>
        <w:spacing w:after="0"/>
      </w:pPr>
      <w:r w:rsidRPr="00364A4A">
        <w:t>GPO Box 858 Canberra ACT 2601</w:t>
      </w:r>
    </w:p>
    <w:p w14:paraId="4CDB9175" w14:textId="77777777" w:rsidR="00764D6A" w:rsidRPr="00364A4A" w:rsidRDefault="00E91D72">
      <w:pPr>
        <w:pStyle w:val="Normalsmall"/>
        <w:spacing w:after="0"/>
      </w:pPr>
      <w:r w:rsidRPr="00364A4A">
        <w:t>Telephone 1800 900 090</w:t>
      </w:r>
    </w:p>
    <w:p w14:paraId="1E680C6C" w14:textId="77777777" w:rsidR="00764D6A" w:rsidRPr="00364A4A" w:rsidRDefault="00E91D72">
      <w:pPr>
        <w:pStyle w:val="Normalsmall"/>
      </w:pPr>
      <w:r w:rsidRPr="00364A4A">
        <w:t xml:space="preserve">Web </w:t>
      </w:r>
      <w:hyperlink r:id="rId15" w:history="1">
        <w:r w:rsidR="00DE0AAE" w:rsidRPr="00364A4A">
          <w:rPr>
            <w:rStyle w:val="Hyperlink"/>
          </w:rPr>
          <w:t>agriculture.gov.au</w:t>
        </w:r>
      </w:hyperlink>
    </w:p>
    <w:p w14:paraId="18B159B0" w14:textId="77777777" w:rsidR="007C358A" w:rsidRDefault="007C358A">
      <w:pPr>
        <w:pStyle w:val="Normalsmall"/>
      </w:pPr>
      <w:r w:rsidRPr="00364A4A">
        <w:rPr>
          <w:rStyle w:val="Strong"/>
        </w:rPr>
        <w:t>Disclaimer</w:t>
      </w:r>
    </w:p>
    <w:p w14:paraId="66CA6F3B"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2D329820" w14:textId="77777777" w:rsidR="00B02B9B" w:rsidRDefault="00B02B9B" w:rsidP="00B02B9B">
      <w:pPr>
        <w:pStyle w:val="Normalsmall"/>
      </w:pPr>
      <w:r>
        <w:rPr>
          <w:rStyle w:val="Strong"/>
        </w:rPr>
        <w:t>Acknowledgement of Country</w:t>
      </w:r>
    </w:p>
    <w:p w14:paraId="0902C1D2"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65D2ECA" w14:textId="77777777" w:rsidR="00114778" w:rsidRDefault="00114778" w:rsidP="00432172">
      <w:pPr>
        <w:pStyle w:val="Normalsmall"/>
      </w:pPr>
    </w:p>
    <w:p w14:paraId="4D5053AE" w14:textId="77777777" w:rsidR="00114778" w:rsidRDefault="00114778" w:rsidP="00432172">
      <w:pPr>
        <w:pStyle w:val="Normalsmall"/>
      </w:pPr>
    </w:p>
    <w:p w14:paraId="2D546CEC" w14:textId="77777777" w:rsidR="00114778" w:rsidRDefault="00114778" w:rsidP="00432172">
      <w:pPr>
        <w:pStyle w:val="Normalsmall"/>
      </w:pPr>
    </w:p>
    <w:p w14:paraId="2162D0C2" w14:textId="77777777" w:rsidR="00114778" w:rsidRDefault="00114778" w:rsidP="00432172">
      <w:pPr>
        <w:pStyle w:val="Normalsmall"/>
      </w:pPr>
    </w:p>
    <w:p w14:paraId="0B9DEB51" w14:textId="77777777" w:rsidR="00114778" w:rsidRDefault="00114778" w:rsidP="00432172">
      <w:pPr>
        <w:pStyle w:val="Normalsmall"/>
      </w:pPr>
    </w:p>
    <w:p w14:paraId="3030312A" w14:textId="77777777" w:rsidR="00114778" w:rsidRDefault="00114778" w:rsidP="00432172">
      <w:pPr>
        <w:pStyle w:val="Normalsmall"/>
      </w:pPr>
    </w:p>
    <w:p w14:paraId="40DCE262" w14:textId="77777777" w:rsidR="00114778" w:rsidRDefault="00114778" w:rsidP="00432172">
      <w:pPr>
        <w:pStyle w:val="Normalsmall"/>
      </w:pPr>
    </w:p>
    <w:p w14:paraId="2A9C0220" w14:textId="77777777" w:rsidR="00114778" w:rsidRDefault="00114778" w:rsidP="00432172">
      <w:pPr>
        <w:pStyle w:val="Normalsmall"/>
      </w:pPr>
    </w:p>
    <w:p w14:paraId="2F47E68B" w14:textId="77777777" w:rsidR="00114778" w:rsidRDefault="00114778" w:rsidP="00432172">
      <w:pPr>
        <w:pStyle w:val="Normalsmall"/>
      </w:pPr>
    </w:p>
    <w:p w14:paraId="3FCB3632" w14:textId="77777777" w:rsidR="00114778" w:rsidRDefault="00114778" w:rsidP="00432172">
      <w:pPr>
        <w:pStyle w:val="Normalsmall"/>
      </w:pPr>
    </w:p>
    <w:p w14:paraId="5F5C457B" w14:textId="77777777" w:rsidR="00114778" w:rsidRDefault="00114778" w:rsidP="00432172">
      <w:pPr>
        <w:pStyle w:val="Normalsmall"/>
      </w:pPr>
    </w:p>
    <w:p w14:paraId="14F5AB51" w14:textId="77777777" w:rsidR="00114778" w:rsidRDefault="00114778" w:rsidP="00432172">
      <w:pPr>
        <w:pStyle w:val="Normalsmall"/>
      </w:pPr>
    </w:p>
    <w:p w14:paraId="0FF8441B" w14:textId="77777777" w:rsidR="00114778" w:rsidRDefault="00114778" w:rsidP="00432172">
      <w:pPr>
        <w:pStyle w:val="Normalsmall"/>
      </w:pPr>
    </w:p>
    <w:p w14:paraId="7CDC46DC" w14:textId="77777777" w:rsidR="00114778" w:rsidRDefault="00114778" w:rsidP="00432172">
      <w:pPr>
        <w:pStyle w:val="Normalsmall"/>
      </w:pPr>
    </w:p>
    <w:p w14:paraId="308627C0" w14:textId="25D0399F" w:rsidR="00114778" w:rsidRDefault="00114778" w:rsidP="002B1230">
      <w:pPr>
        <w:pStyle w:val="Heading2"/>
        <w:numPr>
          <w:ilvl w:val="0"/>
          <w:numId w:val="0"/>
        </w:numPr>
        <w:ind w:left="720" w:hanging="720"/>
      </w:pPr>
      <w:bookmarkStart w:id="0" w:name="_Toc174097851"/>
      <w:r>
        <w:lastRenderedPageBreak/>
        <w:t>Foreword</w:t>
      </w:r>
      <w:bookmarkEnd w:id="0"/>
    </w:p>
    <w:p w14:paraId="0D29CA21" w14:textId="77777777" w:rsidR="005E7663" w:rsidRDefault="005E7663" w:rsidP="005E7663">
      <w:pPr>
        <w:spacing w:after="0" w:line="240" w:lineRule="auto"/>
      </w:pPr>
      <w:r>
        <w:t>We are pleased to present Australia’s first National Biosecurity Strategy Action Plan. The action plan solidifies our unified commitment to a holistic, collaborative, and strategic approach to strengthening Australia’s vital biosecurity system.</w:t>
      </w:r>
    </w:p>
    <w:p w14:paraId="2DF24668" w14:textId="77777777" w:rsidR="00907FD2" w:rsidRDefault="00907FD2" w:rsidP="005E7663">
      <w:pPr>
        <w:spacing w:after="0" w:line="240" w:lineRule="auto"/>
      </w:pPr>
    </w:p>
    <w:p w14:paraId="6EEC182F" w14:textId="53C40C57" w:rsidR="00907FD2" w:rsidRDefault="00907FD2" w:rsidP="00907FD2">
      <w:pPr>
        <w:spacing w:after="0" w:line="240" w:lineRule="auto"/>
      </w:pPr>
      <w:r>
        <w:t xml:space="preserve">Australians all benefit from our strong biosecurity. </w:t>
      </w:r>
      <w:r w:rsidR="00503273">
        <w:t xml:space="preserve">It is key to support our productive agricultural, fisheries and forestry sectors </w:t>
      </w:r>
      <w:r w:rsidR="009D0790">
        <w:t>and</w:t>
      </w:r>
      <w:r w:rsidR="002C60B8">
        <w:t xml:space="preserve"> t</w:t>
      </w:r>
      <w:r w:rsidR="00576E29">
        <w:t>h</w:t>
      </w:r>
      <w:r w:rsidR="009F4217">
        <w:t>e vision to achieve growth towards a $100 billion industry by 2030</w:t>
      </w:r>
      <w:r w:rsidR="002B138E">
        <w:t xml:space="preserve">. </w:t>
      </w:r>
      <w:r w:rsidR="0073034F">
        <w:t>A strong b</w:t>
      </w:r>
      <w:r w:rsidR="006A0939">
        <w:t xml:space="preserve">iosecurity </w:t>
      </w:r>
      <w:r w:rsidR="0073034F">
        <w:t xml:space="preserve">system </w:t>
      </w:r>
      <w:r>
        <w:t xml:space="preserve">underpins our global two-way </w:t>
      </w:r>
      <w:r w:rsidR="004D0949">
        <w:t>trade and</w:t>
      </w:r>
      <w:r>
        <w:t xml:space="preserve"> is essential to protecting our unique natural environment and the way of life all Australians enjoy.</w:t>
      </w:r>
    </w:p>
    <w:p w14:paraId="7F6A5340" w14:textId="77777777" w:rsidR="006016D6" w:rsidRDefault="006016D6" w:rsidP="005E7663">
      <w:pPr>
        <w:spacing w:after="0" w:line="240" w:lineRule="auto"/>
      </w:pPr>
    </w:p>
    <w:p w14:paraId="7778350F" w14:textId="77777777" w:rsidR="005E7663" w:rsidRDefault="005E7663" w:rsidP="005E7663">
      <w:pPr>
        <w:spacing w:after="0" w:line="240" w:lineRule="auto"/>
      </w:pPr>
      <w:r>
        <w:t>From safeguarding our health and preserving our food supply chains, to protecting the culture and values of First Nations people and our wider community. We all have a role to play.</w:t>
      </w:r>
    </w:p>
    <w:p w14:paraId="418550A6" w14:textId="77777777" w:rsidR="006016D6" w:rsidRDefault="006016D6" w:rsidP="005E7663">
      <w:pPr>
        <w:spacing w:after="0" w:line="240" w:lineRule="auto"/>
      </w:pPr>
    </w:p>
    <w:p w14:paraId="599881ED" w14:textId="77777777" w:rsidR="005E7663" w:rsidRDefault="005E7663" w:rsidP="005E7663">
      <w:pPr>
        <w:spacing w:after="0" w:line="240" w:lineRule="auto"/>
      </w:pPr>
      <w:r>
        <w:t>This action plan reflects the collaboration of stakeholders from across our biosecurity system by:</w:t>
      </w:r>
    </w:p>
    <w:p w14:paraId="4ABD3624" w14:textId="0A0B55E8" w:rsidR="005E7663" w:rsidRDefault="005E7663" w:rsidP="00084E08">
      <w:pPr>
        <w:pStyle w:val="ListBullet"/>
      </w:pPr>
      <w:r>
        <w:t>building on the significant investments already made by government, industry and stakeholders across biosecurity</w:t>
      </w:r>
    </w:p>
    <w:p w14:paraId="57D2E323" w14:textId="35455ECB" w:rsidR="005E7663" w:rsidRDefault="005E7663" w:rsidP="00084E08">
      <w:pPr>
        <w:pStyle w:val="ListBullet"/>
      </w:pPr>
      <w:r>
        <w:t>strengthening governance, transparency and accountability to support improved biosecurity decision-making, particularly for future investments and surveillance</w:t>
      </w:r>
    </w:p>
    <w:p w14:paraId="50608A4F" w14:textId="0FB1854B" w:rsidR="005E7663" w:rsidRDefault="005E7663" w:rsidP="00084E08">
      <w:pPr>
        <w:pStyle w:val="ListBullet"/>
      </w:pPr>
      <w:r>
        <w:t>unifying the approach to priority setting,</w:t>
      </w:r>
    </w:p>
    <w:p w14:paraId="22A6D550" w14:textId="1B413C93" w:rsidR="005E7663" w:rsidRDefault="005E7663" w:rsidP="00084E08">
      <w:pPr>
        <w:pStyle w:val="ListBullet"/>
      </w:pPr>
      <w:r>
        <w:t>supporting the National Biosecurity Strategy vision for a connected, resilient and shared national biosecurity system for all Australians.</w:t>
      </w:r>
    </w:p>
    <w:p w14:paraId="75522504" w14:textId="77777777" w:rsidR="005E7663" w:rsidRDefault="005E7663" w:rsidP="005E7663">
      <w:pPr>
        <w:spacing w:after="0" w:line="240" w:lineRule="auto"/>
      </w:pPr>
      <w:r>
        <w:t xml:space="preserve">We thank the organisations, community groups, and individuals who contributed to the development of this action plan. The ongoing engagement from Australian, state and territory governments, First Nations people, landowners and managers, industry, environmental groups, research organisations and the community </w:t>
      </w:r>
      <w:proofErr w:type="gramStart"/>
      <w:r>
        <w:t>is</w:t>
      </w:r>
      <w:proofErr w:type="gramEnd"/>
      <w:r>
        <w:t xml:space="preserve"> valued, and has shaped our approach to delivering the National Biosecurity Strategy actions.</w:t>
      </w:r>
    </w:p>
    <w:p w14:paraId="1F8EDA12" w14:textId="77777777" w:rsidR="006016D6" w:rsidRDefault="006016D6" w:rsidP="005E7663">
      <w:pPr>
        <w:spacing w:after="0" w:line="240" w:lineRule="auto"/>
      </w:pPr>
    </w:p>
    <w:p w14:paraId="6B630B2D" w14:textId="77777777" w:rsidR="005E7663" w:rsidRDefault="005E7663" w:rsidP="005E7663">
      <w:pPr>
        <w:spacing w:after="0" w:line="240" w:lineRule="auto"/>
      </w:pPr>
      <w:r>
        <w:t>We look forward to continuing this critical work together – across governments, industry, and the diverse range of biosecurity stakeholders, communities, and individuals – to successfully achieve the National Biosecurity Strategy’s vision for a biosecurity system that protects Australia and our way of life. A system that is connected, resilient and shared.</w:t>
      </w:r>
    </w:p>
    <w:p w14:paraId="64A874F7" w14:textId="77777777" w:rsidR="000964C1" w:rsidRDefault="000964C1" w:rsidP="005E7663">
      <w:pPr>
        <w:spacing w:after="0" w:line="240" w:lineRule="auto"/>
      </w:pPr>
    </w:p>
    <w:p w14:paraId="51B0BFF2" w14:textId="77777777" w:rsidR="005E7663" w:rsidRPr="000964C1" w:rsidRDefault="005E7663" w:rsidP="005E7663">
      <w:pPr>
        <w:spacing w:after="0" w:line="240" w:lineRule="auto"/>
        <w:rPr>
          <w:rStyle w:val="Strong"/>
        </w:rPr>
      </w:pPr>
      <w:r w:rsidRPr="000964C1">
        <w:rPr>
          <w:rStyle w:val="Strong"/>
        </w:rPr>
        <w:t>Commonwealth of Australia</w:t>
      </w:r>
    </w:p>
    <w:p w14:paraId="04C097D6" w14:textId="48D64B91" w:rsidR="005E7663" w:rsidRDefault="00892179" w:rsidP="005E7663">
      <w:pPr>
        <w:spacing w:after="0" w:line="240" w:lineRule="auto"/>
      </w:pPr>
      <w:r>
        <w:t xml:space="preserve">The Hon </w:t>
      </w:r>
      <w:r w:rsidR="005E7663">
        <w:t>Julie Collins MP</w:t>
      </w:r>
    </w:p>
    <w:p w14:paraId="6B8D95F3" w14:textId="77777777" w:rsidR="005E7663" w:rsidRDefault="005E7663" w:rsidP="005E7663">
      <w:pPr>
        <w:spacing w:after="0" w:line="240" w:lineRule="auto"/>
      </w:pPr>
      <w:r>
        <w:t>Minister for Agriculture, Fisheries and Forestry</w:t>
      </w:r>
    </w:p>
    <w:p w14:paraId="586D47BF" w14:textId="77777777" w:rsidR="000964C1" w:rsidRDefault="000964C1" w:rsidP="005E7663">
      <w:pPr>
        <w:spacing w:after="0" w:line="240" w:lineRule="auto"/>
      </w:pPr>
    </w:p>
    <w:p w14:paraId="31BE87BC" w14:textId="77777777" w:rsidR="005E7663" w:rsidRPr="004F1CF4" w:rsidRDefault="005E7663" w:rsidP="005E7663">
      <w:pPr>
        <w:spacing w:after="0" w:line="240" w:lineRule="auto"/>
        <w:rPr>
          <w:rStyle w:val="Strong"/>
        </w:rPr>
      </w:pPr>
      <w:r w:rsidRPr="004F1CF4">
        <w:rPr>
          <w:rStyle w:val="Strong"/>
        </w:rPr>
        <w:t>New South Wales</w:t>
      </w:r>
    </w:p>
    <w:p w14:paraId="756A05E5" w14:textId="77777777" w:rsidR="005E7663" w:rsidRDefault="005E7663" w:rsidP="005E7663">
      <w:pPr>
        <w:spacing w:after="0" w:line="240" w:lineRule="auto"/>
      </w:pPr>
      <w:r>
        <w:t>The Hon Tara Moriarty MLC</w:t>
      </w:r>
    </w:p>
    <w:p w14:paraId="7F7110C8" w14:textId="77777777" w:rsidR="005E7663" w:rsidRDefault="005E7663" w:rsidP="005E7663">
      <w:pPr>
        <w:spacing w:after="0" w:line="240" w:lineRule="auto"/>
      </w:pPr>
      <w:r>
        <w:t>Minister for Agriculture</w:t>
      </w:r>
    </w:p>
    <w:p w14:paraId="39E6221B" w14:textId="77777777" w:rsidR="000964C1" w:rsidRDefault="000964C1" w:rsidP="005E7663">
      <w:pPr>
        <w:spacing w:after="0" w:line="240" w:lineRule="auto"/>
      </w:pPr>
    </w:p>
    <w:p w14:paraId="2F9DCCC2" w14:textId="77777777" w:rsidR="005E7663" w:rsidRPr="004F1CF4" w:rsidRDefault="005E7663" w:rsidP="005E7663">
      <w:pPr>
        <w:spacing w:after="0" w:line="240" w:lineRule="auto"/>
        <w:rPr>
          <w:rStyle w:val="Strong"/>
        </w:rPr>
      </w:pPr>
      <w:r w:rsidRPr="004F1CF4">
        <w:rPr>
          <w:rStyle w:val="Strong"/>
        </w:rPr>
        <w:t>Victoria</w:t>
      </w:r>
    </w:p>
    <w:p w14:paraId="53C4EAF1" w14:textId="77777777" w:rsidR="005E7663" w:rsidRDefault="005E7663" w:rsidP="005E7663">
      <w:pPr>
        <w:spacing w:after="0" w:line="240" w:lineRule="auto"/>
      </w:pPr>
      <w:r>
        <w:t>The Hon Ros Spence MP</w:t>
      </w:r>
    </w:p>
    <w:p w14:paraId="44760FCB" w14:textId="77777777" w:rsidR="005E7663" w:rsidRDefault="005E7663" w:rsidP="005E7663">
      <w:pPr>
        <w:spacing w:after="0" w:line="240" w:lineRule="auto"/>
      </w:pPr>
      <w:r>
        <w:t>Minister for Agriculture</w:t>
      </w:r>
    </w:p>
    <w:p w14:paraId="2E9E4322" w14:textId="77777777" w:rsidR="000964C1" w:rsidRDefault="000964C1" w:rsidP="005E7663">
      <w:pPr>
        <w:spacing w:after="0" w:line="240" w:lineRule="auto"/>
      </w:pPr>
    </w:p>
    <w:p w14:paraId="0048BC56" w14:textId="77777777" w:rsidR="005E7663" w:rsidRPr="004F1CF4" w:rsidRDefault="005E7663" w:rsidP="005E7663">
      <w:pPr>
        <w:spacing w:after="0" w:line="240" w:lineRule="auto"/>
        <w:rPr>
          <w:rStyle w:val="Strong"/>
        </w:rPr>
      </w:pPr>
      <w:r w:rsidRPr="004F1CF4">
        <w:rPr>
          <w:rStyle w:val="Strong"/>
        </w:rPr>
        <w:t>Queensland</w:t>
      </w:r>
    </w:p>
    <w:p w14:paraId="6EDEE72E" w14:textId="22EBC60B" w:rsidR="005E7663" w:rsidRDefault="007A4714" w:rsidP="005E7663">
      <w:pPr>
        <w:spacing w:after="0" w:line="240" w:lineRule="auto"/>
      </w:pPr>
      <w:r>
        <w:t>The Hon Anthony Perrett MP</w:t>
      </w:r>
    </w:p>
    <w:p w14:paraId="4A869436" w14:textId="044ED51F" w:rsidR="007A4714" w:rsidRDefault="007A4714" w:rsidP="005E7663">
      <w:pPr>
        <w:spacing w:after="0" w:line="240" w:lineRule="auto"/>
      </w:pPr>
      <w:r>
        <w:lastRenderedPageBreak/>
        <w:t>Minister for Primary Industries</w:t>
      </w:r>
    </w:p>
    <w:p w14:paraId="047065D4" w14:textId="77777777" w:rsidR="000964C1" w:rsidRDefault="000964C1" w:rsidP="005E7663">
      <w:pPr>
        <w:spacing w:after="0" w:line="240" w:lineRule="auto"/>
      </w:pPr>
    </w:p>
    <w:p w14:paraId="7857BF0A" w14:textId="77777777" w:rsidR="005E7663" w:rsidRPr="004F1CF4" w:rsidRDefault="005E7663" w:rsidP="005E7663">
      <w:pPr>
        <w:spacing w:after="0" w:line="240" w:lineRule="auto"/>
        <w:rPr>
          <w:rStyle w:val="Strong"/>
        </w:rPr>
      </w:pPr>
      <w:r w:rsidRPr="004F1CF4">
        <w:rPr>
          <w:rStyle w:val="Strong"/>
        </w:rPr>
        <w:t>South Australia</w:t>
      </w:r>
    </w:p>
    <w:p w14:paraId="5948D473" w14:textId="77777777" w:rsidR="005E7663" w:rsidRDefault="005E7663" w:rsidP="005E7663">
      <w:pPr>
        <w:spacing w:after="0" w:line="240" w:lineRule="auto"/>
      </w:pPr>
      <w:r>
        <w:t>The Hon Clare Scriven MLC</w:t>
      </w:r>
    </w:p>
    <w:p w14:paraId="5A0B1651" w14:textId="77777777" w:rsidR="005E7663" w:rsidRDefault="005E7663" w:rsidP="005E7663">
      <w:pPr>
        <w:spacing w:after="0" w:line="240" w:lineRule="auto"/>
      </w:pPr>
      <w:r>
        <w:t>Minister for Primary Industries and Regional Development</w:t>
      </w:r>
    </w:p>
    <w:p w14:paraId="3363FB1D" w14:textId="29FF9ED4" w:rsidR="00F1510F" w:rsidRDefault="00F1510F" w:rsidP="005E7663">
      <w:pPr>
        <w:spacing w:after="0" w:line="240" w:lineRule="auto"/>
      </w:pPr>
      <w:r>
        <w:t>Minister for Forest Industries</w:t>
      </w:r>
    </w:p>
    <w:p w14:paraId="27C6EFB4" w14:textId="77777777" w:rsidR="00AC1A1D" w:rsidRDefault="00AC1A1D" w:rsidP="005E7663">
      <w:pPr>
        <w:spacing w:after="0" w:line="240" w:lineRule="auto"/>
      </w:pPr>
    </w:p>
    <w:p w14:paraId="766419C2" w14:textId="77777777" w:rsidR="005E7663" w:rsidRPr="00A0428B" w:rsidRDefault="005E7663" w:rsidP="005E7663">
      <w:pPr>
        <w:spacing w:after="0" w:line="240" w:lineRule="auto"/>
        <w:rPr>
          <w:rStyle w:val="Strong"/>
        </w:rPr>
      </w:pPr>
      <w:r w:rsidRPr="00A0428B">
        <w:rPr>
          <w:rStyle w:val="Strong"/>
        </w:rPr>
        <w:t>Western Australia</w:t>
      </w:r>
    </w:p>
    <w:p w14:paraId="793D1CBC" w14:textId="77777777" w:rsidR="005E7663" w:rsidRDefault="005E7663" w:rsidP="005E7663">
      <w:pPr>
        <w:spacing w:after="0" w:line="240" w:lineRule="auto"/>
      </w:pPr>
      <w:r>
        <w:t>The Hon Jackie Jarvis MLC</w:t>
      </w:r>
    </w:p>
    <w:p w14:paraId="388462D7" w14:textId="023B3EB8" w:rsidR="005E7663" w:rsidRDefault="005E7663" w:rsidP="005E7663">
      <w:pPr>
        <w:spacing w:after="0" w:line="240" w:lineRule="auto"/>
      </w:pPr>
      <w:r>
        <w:t>Minister for Agriculture and Food</w:t>
      </w:r>
      <w:r w:rsidR="00DE1468">
        <w:t>; Forestry; Small Business</w:t>
      </w:r>
    </w:p>
    <w:p w14:paraId="65B3DAC5" w14:textId="77777777" w:rsidR="000964C1" w:rsidRDefault="000964C1" w:rsidP="005E7663">
      <w:pPr>
        <w:spacing w:after="0" w:line="240" w:lineRule="auto"/>
      </w:pPr>
    </w:p>
    <w:p w14:paraId="49D0A666" w14:textId="77777777" w:rsidR="005E7663" w:rsidRPr="00A0428B" w:rsidRDefault="005E7663" w:rsidP="005E7663">
      <w:pPr>
        <w:spacing w:after="0" w:line="240" w:lineRule="auto"/>
        <w:rPr>
          <w:rStyle w:val="Strong"/>
        </w:rPr>
      </w:pPr>
      <w:r w:rsidRPr="00A0428B">
        <w:rPr>
          <w:rStyle w:val="Strong"/>
        </w:rPr>
        <w:t>Tasmania</w:t>
      </w:r>
    </w:p>
    <w:p w14:paraId="648C7E27" w14:textId="77777777" w:rsidR="005E7663" w:rsidRDefault="005E7663" w:rsidP="005E7663">
      <w:pPr>
        <w:spacing w:after="0" w:line="240" w:lineRule="auto"/>
      </w:pPr>
      <w:r>
        <w:t>The Hon Jane Howlett MP</w:t>
      </w:r>
    </w:p>
    <w:p w14:paraId="7CD09BF8" w14:textId="77777777" w:rsidR="005E7663" w:rsidRDefault="005E7663" w:rsidP="005E7663">
      <w:pPr>
        <w:spacing w:after="0" w:line="240" w:lineRule="auto"/>
      </w:pPr>
      <w:r>
        <w:t>Minister for Primary Industries and Water</w:t>
      </w:r>
    </w:p>
    <w:p w14:paraId="110FD76A" w14:textId="77777777" w:rsidR="000964C1" w:rsidRDefault="000964C1" w:rsidP="005E7663">
      <w:pPr>
        <w:spacing w:after="0" w:line="240" w:lineRule="auto"/>
      </w:pPr>
    </w:p>
    <w:p w14:paraId="69FC7852" w14:textId="77777777" w:rsidR="005E7663" w:rsidRPr="00A0428B" w:rsidRDefault="005E7663" w:rsidP="005E7663">
      <w:pPr>
        <w:spacing w:after="0" w:line="240" w:lineRule="auto"/>
        <w:rPr>
          <w:rStyle w:val="Strong"/>
        </w:rPr>
      </w:pPr>
      <w:r w:rsidRPr="00A0428B">
        <w:rPr>
          <w:rStyle w:val="Strong"/>
        </w:rPr>
        <w:t>Northern Territory</w:t>
      </w:r>
    </w:p>
    <w:p w14:paraId="15A0CC1D" w14:textId="42099972" w:rsidR="005E7663" w:rsidRDefault="005E7663" w:rsidP="005E7663">
      <w:pPr>
        <w:spacing w:after="0" w:line="240" w:lineRule="auto"/>
      </w:pPr>
      <w:r>
        <w:t xml:space="preserve">The Hon </w:t>
      </w:r>
      <w:r w:rsidR="00AC1A1D">
        <w:t>Gerard Maley</w:t>
      </w:r>
      <w:r>
        <w:t xml:space="preserve"> MLA</w:t>
      </w:r>
    </w:p>
    <w:p w14:paraId="54C344B5" w14:textId="25666CAC" w:rsidR="005E7663" w:rsidRDefault="005E7663" w:rsidP="005E7663">
      <w:pPr>
        <w:spacing w:after="0" w:line="240" w:lineRule="auto"/>
      </w:pPr>
      <w:r>
        <w:t>Minister for Agri</w:t>
      </w:r>
      <w:r w:rsidR="00AC1A1D">
        <w:t>culture</w:t>
      </w:r>
      <w:r>
        <w:t xml:space="preserve"> and Fisheries</w:t>
      </w:r>
    </w:p>
    <w:p w14:paraId="34813257" w14:textId="77777777" w:rsidR="000964C1" w:rsidRDefault="000964C1" w:rsidP="005E7663">
      <w:pPr>
        <w:spacing w:after="0" w:line="240" w:lineRule="auto"/>
      </w:pPr>
    </w:p>
    <w:p w14:paraId="622FBB3A" w14:textId="77777777" w:rsidR="005E7663" w:rsidRPr="00A0428B" w:rsidRDefault="005E7663" w:rsidP="005E7663">
      <w:pPr>
        <w:spacing w:after="0" w:line="240" w:lineRule="auto"/>
        <w:rPr>
          <w:rStyle w:val="Strong"/>
        </w:rPr>
      </w:pPr>
      <w:r w:rsidRPr="00A0428B">
        <w:rPr>
          <w:rStyle w:val="Strong"/>
        </w:rPr>
        <w:t>Australian Capital Territory</w:t>
      </w:r>
    </w:p>
    <w:p w14:paraId="5C2E9A5A" w14:textId="06CC692E" w:rsidR="005E7663" w:rsidRDefault="001B0BBA" w:rsidP="005E7663">
      <w:pPr>
        <w:spacing w:after="0" w:line="240" w:lineRule="auto"/>
      </w:pPr>
      <w:r>
        <w:t>The Hon Suzanne Orr MLA</w:t>
      </w:r>
    </w:p>
    <w:p w14:paraId="02E45953" w14:textId="6672DDC8" w:rsidR="005E7663" w:rsidRDefault="005E7663" w:rsidP="005E7663">
      <w:pPr>
        <w:spacing w:after="0" w:line="240" w:lineRule="auto"/>
      </w:pPr>
      <w:r>
        <w:t xml:space="preserve">Minister for </w:t>
      </w:r>
      <w:r w:rsidR="00882B16">
        <w:t>Climate Change,</w:t>
      </w:r>
      <w:r>
        <w:t xml:space="preserve"> Environment</w:t>
      </w:r>
      <w:r w:rsidR="00882B16">
        <w:t>, Energy and Water</w:t>
      </w:r>
    </w:p>
    <w:p w14:paraId="0D43647A" w14:textId="77777777" w:rsidR="005E7663" w:rsidRDefault="005E7663" w:rsidP="005E7663">
      <w:pPr>
        <w:spacing w:after="0" w:line="240" w:lineRule="auto"/>
      </w:pPr>
    </w:p>
    <w:p w14:paraId="6D724CF3" w14:textId="77777777" w:rsidR="005E7663" w:rsidRPr="004A27A9" w:rsidRDefault="005E7663" w:rsidP="004A27A9">
      <w:pPr>
        <w:pStyle w:val="BoxHeading"/>
      </w:pPr>
      <w:r w:rsidRPr="004A27A9">
        <w:t>National Biosecurity Strategy Implementation Committee</w:t>
      </w:r>
    </w:p>
    <w:p w14:paraId="54FEF2B0" w14:textId="28E85D4F" w:rsidR="005E7663" w:rsidRPr="004A27A9" w:rsidRDefault="005E7663" w:rsidP="004A27A9">
      <w:pPr>
        <w:pStyle w:val="BoxTextBullet"/>
      </w:pPr>
      <w:r w:rsidRPr="004A27A9">
        <w:t>Australasian Meat Industry Employees Union</w:t>
      </w:r>
    </w:p>
    <w:p w14:paraId="53B1348F" w14:textId="2A7EBE60" w:rsidR="005E7663" w:rsidRPr="004A27A9" w:rsidRDefault="005E7663" w:rsidP="004A27A9">
      <w:pPr>
        <w:pStyle w:val="BoxTextBullet"/>
      </w:pPr>
      <w:r w:rsidRPr="004A27A9">
        <w:t>Australian Food and Grocery Council</w:t>
      </w:r>
    </w:p>
    <w:p w14:paraId="503A3DFF" w14:textId="736274EC" w:rsidR="005E7663" w:rsidRPr="004A27A9" w:rsidRDefault="005E7663" w:rsidP="004A27A9">
      <w:pPr>
        <w:pStyle w:val="BoxTextBullet"/>
      </w:pPr>
      <w:r w:rsidRPr="004A27A9">
        <w:t>Cattle Australia</w:t>
      </w:r>
      <w:r w:rsidR="00606933">
        <w:t xml:space="preserve">  </w:t>
      </w:r>
    </w:p>
    <w:p w14:paraId="656936A0" w14:textId="4A5A7AAF" w:rsidR="005E7663" w:rsidRPr="004A27A9" w:rsidRDefault="005E7663" w:rsidP="004A27A9">
      <w:pPr>
        <w:pStyle w:val="BoxTextBullet"/>
      </w:pPr>
      <w:r w:rsidRPr="004A27A9">
        <w:t>Commonwealth Department of Agriculture, Fisheries and Forestry</w:t>
      </w:r>
    </w:p>
    <w:p w14:paraId="106193E9" w14:textId="509EBFB1" w:rsidR="005E7663" w:rsidRPr="004A27A9" w:rsidRDefault="005E7663" w:rsidP="004A27A9">
      <w:pPr>
        <w:pStyle w:val="BoxTextBullet"/>
      </w:pPr>
      <w:r w:rsidRPr="004A27A9">
        <w:t>Freight and Trade Alliance</w:t>
      </w:r>
    </w:p>
    <w:p w14:paraId="0A7407D2" w14:textId="7B7881F3" w:rsidR="005E7663" w:rsidRPr="004A27A9" w:rsidRDefault="005E7663" w:rsidP="004A27A9">
      <w:pPr>
        <w:pStyle w:val="BoxTextBullet"/>
      </w:pPr>
      <w:r w:rsidRPr="004A27A9">
        <w:t>Grain Producers Australia</w:t>
      </w:r>
    </w:p>
    <w:p w14:paraId="205CC348" w14:textId="79B76AB5" w:rsidR="005E7663" w:rsidRPr="004A27A9" w:rsidRDefault="005E7663" w:rsidP="004A27A9">
      <w:pPr>
        <w:pStyle w:val="BoxTextBullet"/>
      </w:pPr>
      <w:r w:rsidRPr="004A27A9">
        <w:t>Grains Research and Development Corporation</w:t>
      </w:r>
    </w:p>
    <w:p w14:paraId="21BC5948" w14:textId="7A7B4A2A" w:rsidR="005E7663" w:rsidRPr="004A27A9" w:rsidRDefault="005E7663" w:rsidP="004A27A9">
      <w:pPr>
        <w:pStyle w:val="BoxTextBullet"/>
      </w:pPr>
      <w:r w:rsidRPr="004A27A9">
        <w:t>Invasive Species Council</w:t>
      </w:r>
    </w:p>
    <w:p w14:paraId="51B9D481" w14:textId="32089857" w:rsidR="005E7663" w:rsidRPr="004A27A9" w:rsidRDefault="005E7663" w:rsidP="004A27A9">
      <w:pPr>
        <w:pStyle w:val="BoxTextBullet"/>
      </w:pPr>
      <w:r w:rsidRPr="004A27A9">
        <w:t>National Farmers’ Federation</w:t>
      </w:r>
    </w:p>
    <w:p w14:paraId="611A3F4A" w14:textId="752CBD11" w:rsidR="005E7663" w:rsidRPr="004A27A9" w:rsidRDefault="005E7663" w:rsidP="004A27A9">
      <w:pPr>
        <w:pStyle w:val="BoxTextBullet"/>
      </w:pPr>
      <w:r w:rsidRPr="004A27A9">
        <w:t>North Australian Indigenous Land and Sea Management Alliance</w:t>
      </w:r>
    </w:p>
    <w:p w14:paraId="46FADF56" w14:textId="74977128" w:rsidR="005E7663" w:rsidRPr="004A27A9" w:rsidRDefault="005E7663" w:rsidP="004A27A9">
      <w:pPr>
        <w:pStyle w:val="BoxTextBullet"/>
      </w:pPr>
      <w:r w:rsidRPr="004A27A9">
        <w:t>NRM Regions Australia</w:t>
      </w:r>
    </w:p>
    <w:p w14:paraId="2156BDD6" w14:textId="686EBBC4" w:rsidR="005E7663" w:rsidRPr="004A27A9" w:rsidRDefault="005E7663" w:rsidP="004A27A9">
      <w:pPr>
        <w:pStyle w:val="BoxTextBullet"/>
      </w:pPr>
      <w:r w:rsidRPr="004A27A9">
        <w:t>South Australia Department of Primary Industries and Regions (Chair)</w:t>
      </w:r>
    </w:p>
    <w:p w14:paraId="17BD7B2F" w14:textId="0686C9DF" w:rsidR="005E7663" w:rsidRPr="004A27A9" w:rsidRDefault="005E7663" w:rsidP="004A27A9">
      <w:pPr>
        <w:pStyle w:val="BoxTextBullet"/>
      </w:pPr>
      <w:r w:rsidRPr="004A27A9">
        <w:t>Victoria Department of Energy, Environment and Climate Action</w:t>
      </w:r>
    </w:p>
    <w:p w14:paraId="60DCC47A" w14:textId="6E4DAFE8" w:rsidR="00764D6A" w:rsidRDefault="005E7663" w:rsidP="004A27A9">
      <w:pPr>
        <w:pStyle w:val="BoxTextBullet"/>
      </w:pPr>
      <w:r w:rsidRPr="004A27A9">
        <w:t>Western Australia Department of Primary Industries and Regional Development</w:t>
      </w:r>
      <w:r w:rsidR="00E91D72">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06A62FA" w14:textId="39B154AB" w:rsidR="00764D6A" w:rsidRDefault="00E91D72">
          <w:pPr>
            <w:pStyle w:val="TOCHeading"/>
          </w:pPr>
          <w:r>
            <w:t>Contents</w:t>
          </w:r>
        </w:p>
        <w:p w14:paraId="6B723AD9" w14:textId="6EF40917" w:rsidR="00851CFC"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74097851" w:history="1">
            <w:r w:rsidR="00851CFC" w:rsidRPr="009D5266">
              <w:rPr>
                <w:rStyle w:val="Hyperlink"/>
              </w:rPr>
              <w:t>Foreword</w:t>
            </w:r>
            <w:r w:rsidR="00851CFC">
              <w:rPr>
                <w:webHidden/>
              </w:rPr>
              <w:tab/>
            </w:r>
            <w:r w:rsidR="00851CFC">
              <w:rPr>
                <w:webHidden/>
              </w:rPr>
              <w:fldChar w:fldCharType="begin"/>
            </w:r>
            <w:r w:rsidR="00851CFC">
              <w:rPr>
                <w:webHidden/>
              </w:rPr>
              <w:instrText xml:space="preserve"> PAGEREF _Toc174097851 \h </w:instrText>
            </w:r>
            <w:r w:rsidR="00851CFC">
              <w:rPr>
                <w:webHidden/>
              </w:rPr>
            </w:r>
            <w:r w:rsidR="00851CFC">
              <w:rPr>
                <w:webHidden/>
              </w:rPr>
              <w:fldChar w:fldCharType="separate"/>
            </w:r>
            <w:r w:rsidR="00851CFC">
              <w:rPr>
                <w:webHidden/>
              </w:rPr>
              <w:t>iii</w:t>
            </w:r>
            <w:r w:rsidR="00851CFC">
              <w:rPr>
                <w:webHidden/>
              </w:rPr>
              <w:fldChar w:fldCharType="end"/>
            </w:r>
          </w:hyperlink>
        </w:p>
        <w:p w14:paraId="184883EE" w14:textId="4F0E2ABB" w:rsidR="00851CFC" w:rsidRDefault="00851CFC">
          <w:pPr>
            <w:pStyle w:val="TOC1"/>
            <w:rPr>
              <w:rFonts w:eastAsiaTheme="minorEastAsia"/>
              <w:b w:val="0"/>
              <w:kern w:val="2"/>
              <w:sz w:val="24"/>
              <w:szCs w:val="24"/>
              <w:lang w:eastAsia="en-AU"/>
              <w14:ligatures w14:val="standardContextual"/>
            </w:rPr>
          </w:pPr>
          <w:hyperlink w:anchor="_Toc174097852" w:history="1">
            <w:r w:rsidRPr="009D5266">
              <w:rPr>
                <w:rStyle w:val="Hyperlink"/>
              </w:rPr>
              <w:t>Introduction</w:t>
            </w:r>
            <w:r>
              <w:rPr>
                <w:webHidden/>
              </w:rPr>
              <w:tab/>
            </w:r>
            <w:r>
              <w:rPr>
                <w:webHidden/>
              </w:rPr>
              <w:fldChar w:fldCharType="begin"/>
            </w:r>
            <w:r>
              <w:rPr>
                <w:webHidden/>
              </w:rPr>
              <w:instrText xml:space="preserve"> PAGEREF _Toc174097852 \h </w:instrText>
            </w:r>
            <w:r>
              <w:rPr>
                <w:webHidden/>
              </w:rPr>
            </w:r>
            <w:r>
              <w:rPr>
                <w:webHidden/>
              </w:rPr>
              <w:fldChar w:fldCharType="separate"/>
            </w:r>
            <w:r>
              <w:rPr>
                <w:webHidden/>
              </w:rPr>
              <w:t>1</w:t>
            </w:r>
            <w:r>
              <w:rPr>
                <w:webHidden/>
              </w:rPr>
              <w:fldChar w:fldCharType="end"/>
            </w:r>
          </w:hyperlink>
        </w:p>
        <w:p w14:paraId="30FA06EC" w14:textId="78D6F50A" w:rsidR="00851CFC" w:rsidRDefault="00851CFC">
          <w:pPr>
            <w:pStyle w:val="TOC1"/>
            <w:rPr>
              <w:rFonts w:eastAsiaTheme="minorEastAsia"/>
              <w:b w:val="0"/>
              <w:kern w:val="2"/>
              <w:sz w:val="24"/>
              <w:szCs w:val="24"/>
              <w:lang w:eastAsia="en-AU"/>
              <w14:ligatures w14:val="standardContextual"/>
            </w:rPr>
          </w:pPr>
          <w:hyperlink w:anchor="_Toc174097853" w:history="1">
            <w:r w:rsidRPr="009D5266">
              <w:rPr>
                <w:rStyle w:val="Hyperlink"/>
              </w:rPr>
              <w:t>Governance</w:t>
            </w:r>
            <w:r>
              <w:rPr>
                <w:webHidden/>
              </w:rPr>
              <w:tab/>
            </w:r>
            <w:r>
              <w:rPr>
                <w:webHidden/>
              </w:rPr>
              <w:fldChar w:fldCharType="begin"/>
            </w:r>
            <w:r>
              <w:rPr>
                <w:webHidden/>
              </w:rPr>
              <w:instrText xml:space="preserve"> PAGEREF _Toc174097853 \h </w:instrText>
            </w:r>
            <w:r>
              <w:rPr>
                <w:webHidden/>
              </w:rPr>
            </w:r>
            <w:r>
              <w:rPr>
                <w:webHidden/>
              </w:rPr>
              <w:fldChar w:fldCharType="separate"/>
            </w:r>
            <w:r>
              <w:rPr>
                <w:webHidden/>
              </w:rPr>
              <w:t>2</w:t>
            </w:r>
            <w:r>
              <w:rPr>
                <w:webHidden/>
              </w:rPr>
              <w:fldChar w:fldCharType="end"/>
            </w:r>
          </w:hyperlink>
        </w:p>
        <w:p w14:paraId="02E84DD3" w14:textId="66B4990E" w:rsidR="00851CFC" w:rsidRDefault="00851CFC">
          <w:pPr>
            <w:pStyle w:val="TOC2"/>
            <w:rPr>
              <w:rFonts w:eastAsiaTheme="minorEastAsia"/>
              <w:kern w:val="2"/>
              <w:sz w:val="24"/>
              <w:szCs w:val="24"/>
              <w:lang w:eastAsia="en-AU"/>
              <w14:ligatures w14:val="standardContextual"/>
            </w:rPr>
          </w:pPr>
          <w:hyperlink w:anchor="_Toc174097854" w:history="1">
            <w:r w:rsidRPr="009D5266">
              <w:rPr>
                <w:rStyle w:val="Hyperlink"/>
                <w:lang w:eastAsia="ja-JP"/>
              </w:rPr>
              <w:t>Activity leaders</w:t>
            </w:r>
            <w:r>
              <w:rPr>
                <w:webHidden/>
              </w:rPr>
              <w:tab/>
            </w:r>
            <w:r>
              <w:rPr>
                <w:webHidden/>
              </w:rPr>
              <w:fldChar w:fldCharType="begin"/>
            </w:r>
            <w:r>
              <w:rPr>
                <w:webHidden/>
              </w:rPr>
              <w:instrText xml:space="preserve"> PAGEREF _Toc174097854 \h </w:instrText>
            </w:r>
            <w:r>
              <w:rPr>
                <w:webHidden/>
              </w:rPr>
            </w:r>
            <w:r>
              <w:rPr>
                <w:webHidden/>
              </w:rPr>
              <w:fldChar w:fldCharType="separate"/>
            </w:r>
            <w:r>
              <w:rPr>
                <w:webHidden/>
              </w:rPr>
              <w:t>2</w:t>
            </w:r>
            <w:r>
              <w:rPr>
                <w:webHidden/>
              </w:rPr>
              <w:fldChar w:fldCharType="end"/>
            </w:r>
          </w:hyperlink>
        </w:p>
        <w:p w14:paraId="24FE5313" w14:textId="2937C5D9" w:rsidR="00851CFC" w:rsidRDefault="00851CFC">
          <w:pPr>
            <w:pStyle w:val="TOC2"/>
            <w:rPr>
              <w:rFonts w:eastAsiaTheme="minorEastAsia"/>
              <w:kern w:val="2"/>
              <w:sz w:val="24"/>
              <w:szCs w:val="24"/>
              <w:lang w:eastAsia="en-AU"/>
              <w14:ligatures w14:val="standardContextual"/>
            </w:rPr>
          </w:pPr>
          <w:hyperlink w:anchor="_Toc174097855" w:history="1">
            <w:r w:rsidRPr="009D5266">
              <w:rPr>
                <w:rStyle w:val="Hyperlink"/>
                <w:lang w:eastAsia="ja-JP"/>
              </w:rPr>
              <w:t>Reporting</w:t>
            </w:r>
            <w:r>
              <w:rPr>
                <w:webHidden/>
              </w:rPr>
              <w:tab/>
            </w:r>
            <w:r>
              <w:rPr>
                <w:webHidden/>
              </w:rPr>
              <w:fldChar w:fldCharType="begin"/>
            </w:r>
            <w:r>
              <w:rPr>
                <w:webHidden/>
              </w:rPr>
              <w:instrText xml:space="preserve"> PAGEREF _Toc174097855 \h </w:instrText>
            </w:r>
            <w:r>
              <w:rPr>
                <w:webHidden/>
              </w:rPr>
            </w:r>
            <w:r>
              <w:rPr>
                <w:webHidden/>
              </w:rPr>
              <w:fldChar w:fldCharType="separate"/>
            </w:r>
            <w:r>
              <w:rPr>
                <w:webHidden/>
              </w:rPr>
              <w:t>3</w:t>
            </w:r>
            <w:r>
              <w:rPr>
                <w:webHidden/>
              </w:rPr>
              <w:fldChar w:fldCharType="end"/>
            </w:r>
          </w:hyperlink>
        </w:p>
        <w:p w14:paraId="4BC5B4F4" w14:textId="45D41C3D" w:rsidR="00851CFC" w:rsidRDefault="00851CFC">
          <w:pPr>
            <w:pStyle w:val="TOC1"/>
            <w:rPr>
              <w:rFonts w:eastAsiaTheme="minorEastAsia"/>
              <w:b w:val="0"/>
              <w:kern w:val="2"/>
              <w:sz w:val="24"/>
              <w:szCs w:val="24"/>
              <w:lang w:eastAsia="en-AU"/>
              <w14:ligatures w14:val="standardContextual"/>
            </w:rPr>
          </w:pPr>
          <w:hyperlink w:anchor="_Toc174097856" w:history="1">
            <w:r w:rsidRPr="009D5266">
              <w:rPr>
                <w:rStyle w:val="Hyperlink"/>
              </w:rPr>
              <w:t>NBS priority areas for action</w:t>
            </w:r>
            <w:r>
              <w:rPr>
                <w:webHidden/>
              </w:rPr>
              <w:tab/>
            </w:r>
            <w:r>
              <w:rPr>
                <w:webHidden/>
              </w:rPr>
              <w:fldChar w:fldCharType="begin"/>
            </w:r>
            <w:r>
              <w:rPr>
                <w:webHidden/>
              </w:rPr>
              <w:instrText xml:space="preserve"> PAGEREF _Toc174097856 \h </w:instrText>
            </w:r>
            <w:r>
              <w:rPr>
                <w:webHidden/>
              </w:rPr>
            </w:r>
            <w:r>
              <w:rPr>
                <w:webHidden/>
              </w:rPr>
              <w:fldChar w:fldCharType="separate"/>
            </w:r>
            <w:r>
              <w:rPr>
                <w:webHidden/>
              </w:rPr>
              <w:t>4</w:t>
            </w:r>
            <w:r>
              <w:rPr>
                <w:webHidden/>
              </w:rPr>
              <w:fldChar w:fldCharType="end"/>
            </w:r>
          </w:hyperlink>
        </w:p>
        <w:p w14:paraId="7ABBD632" w14:textId="3346BC76" w:rsidR="00851CFC" w:rsidRDefault="00851CFC">
          <w:pPr>
            <w:pStyle w:val="TOC2"/>
            <w:rPr>
              <w:rFonts w:eastAsiaTheme="minorEastAsia"/>
              <w:kern w:val="2"/>
              <w:sz w:val="24"/>
              <w:szCs w:val="24"/>
              <w:lang w:eastAsia="en-AU"/>
              <w14:ligatures w14:val="standardContextual"/>
            </w:rPr>
          </w:pPr>
          <w:hyperlink w:anchor="_Toc174097857" w:history="1">
            <w:r w:rsidRPr="009D5266">
              <w:rPr>
                <w:rStyle w:val="Hyperlink"/>
                <w:lang w:eastAsia="ja-JP"/>
              </w:rPr>
              <w:t>NBS priority area 1: Shared biosecurity culture</w:t>
            </w:r>
            <w:r>
              <w:rPr>
                <w:webHidden/>
              </w:rPr>
              <w:tab/>
            </w:r>
            <w:r>
              <w:rPr>
                <w:webHidden/>
              </w:rPr>
              <w:fldChar w:fldCharType="begin"/>
            </w:r>
            <w:r>
              <w:rPr>
                <w:webHidden/>
              </w:rPr>
              <w:instrText xml:space="preserve"> PAGEREF _Toc174097857 \h </w:instrText>
            </w:r>
            <w:r>
              <w:rPr>
                <w:webHidden/>
              </w:rPr>
            </w:r>
            <w:r>
              <w:rPr>
                <w:webHidden/>
              </w:rPr>
              <w:fldChar w:fldCharType="separate"/>
            </w:r>
            <w:r>
              <w:rPr>
                <w:webHidden/>
              </w:rPr>
              <w:t>4</w:t>
            </w:r>
            <w:r>
              <w:rPr>
                <w:webHidden/>
              </w:rPr>
              <w:fldChar w:fldCharType="end"/>
            </w:r>
          </w:hyperlink>
        </w:p>
        <w:p w14:paraId="1315290A" w14:textId="45B02732" w:rsidR="00851CFC" w:rsidRDefault="00851CFC">
          <w:pPr>
            <w:pStyle w:val="TOC2"/>
            <w:rPr>
              <w:rFonts w:eastAsiaTheme="minorEastAsia"/>
              <w:kern w:val="2"/>
              <w:sz w:val="24"/>
              <w:szCs w:val="24"/>
              <w:lang w:eastAsia="en-AU"/>
              <w14:ligatures w14:val="standardContextual"/>
            </w:rPr>
          </w:pPr>
          <w:hyperlink w:anchor="_Toc174097858" w:history="1">
            <w:r w:rsidRPr="009D5266">
              <w:rPr>
                <w:rStyle w:val="Hyperlink"/>
                <w:lang w:eastAsia="ja-JP"/>
              </w:rPr>
              <w:t xml:space="preserve">NBS priority </w:t>
            </w:r>
            <w:r w:rsidRPr="009D5266">
              <w:rPr>
                <w:rStyle w:val="Hyperlink"/>
              </w:rPr>
              <w:t>area 2</w:t>
            </w:r>
            <w:r w:rsidRPr="009D5266">
              <w:rPr>
                <w:rStyle w:val="Hyperlink"/>
                <w:lang w:eastAsia="ja-JP"/>
              </w:rPr>
              <w:t>: Stronger partnerships</w:t>
            </w:r>
            <w:r>
              <w:rPr>
                <w:webHidden/>
              </w:rPr>
              <w:tab/>
            </w:r>
            <w:r>
              <w:rPr>
                <w:webHidden/>
              </w:rPr>
              <w:fldChar w:fldCharType="begin"/>
            </w:r>
            <w:r>
              <w:rPr>
                <w:webHidden/>
              </w:rPr>
              <w:instrText xml:space="preserve"> PAGEREF _Toc174097858 \h </w:instrText>
            </w:r>
            <w:r>
              <w:rPr>
                <w:webHidden/>
              </w:rPr>
            </w:r>
            <w:r>
              <w:rPr>
                <w:webHidden/>
              </w:rPr>
              <w:fldChar w:fldCharType="separate"/>
            </w:r>
            <w:r>
              <w:rPr>
                <w:webHidden/>
              </w:rPr>
              <w:t>5</w:t>
            </w:r>
            <w:r>
              <w:rPr>
                <w:webHidden/>
              </w:rPr>
              <w:fldChar w:fldCharType="end"/>
            </w:r>
          </w:hyperlink>
        </w:p>
        <w:p w14:paraId="2DD41543" w14:textId="3E596804" w:rsidR="00851CFC" w:rsidRDefault="00851CFC">
          <w:pPr>
            <w:pStyle w:val="TOC2"/>
            <w:rPr>
              <w:rFonts w:eastAsiaTheme="minorEastAsia"/>
              <w:kern w:val="2"/>
              <w:sz w:val="24"/>
              <w:szCs w:val="24"/>
              <w:lang w:eastAsia="en-AU"/>
              <w14:ligatures w14:val="standardContextual"/>
            </w:rPr>
          </w:pPr>
          <w:hyperlink w:anchor="_Toc174097859" w:history="1">
            <w:r w:rsidRPr="009D5266">
              <w:rPr>
                <w:rStyle w:val="Hyperlink"/>
                <w:lang w:eastAsia="ja-JP"/>
              </w:rPr>
              <w:t xml:space="preserve">NBS priority </w:t>
            </w:r>
            <w:r w:rsidRPr="009D5266">
              <w:rPr>
                <w:rStyle w:val="Hyperlink"/>
              </w:rPr>
              <w:t>area 3</w:t>
            </w:r>
            <w:r w:rsidRPr="009D5266">
              <w:rPr>
                <w:rStyle w:val="Hyperlink"/>
                <w:lang w:eastAsia="ja-JP"/>
              </w:rPr>
              <w:t>: Highly skilled workforce</w:t>
            </w:r>
            <w:r>
              <w:rPr>
                <w:webHidden/>
              </w:rPr>
              <w:tab/>
            </w:r>
            <w:r>
              <w:rPr>
                <w:webHidden/>
              </w:rPr>
              <w:fldChar w:fldCharType="begin"/>
            </w:r>
            <w:r>
              <w:rPr>
                <w:webHidden/>
              </w:rPr>
              <w:instrText xml:space="preserve"> PAGEREF _Toc174097859 \h </w:instrText>
            </w:r>
            <w:r>
              <w:rPr>
                <w:webHidden/>
              </w:rPr>
            </w:r>
            <w:r>
              <w:rPr>
                <w:webHidden/>
              </w:rPr>
              <w:fldChar w:fldCharType="separate"/>
            </w:r>
            <w:r>
              <w:rPr>
                <w:webHidden/>
              </w:rPr>
              <w:t>7</w:t>
            </w:r>
            <w:r>
              <w:rPr>
                <w:webHidden/>
              </w:rPr>
              <w:fldChar w:fldCharType="end"/>
            </w:r>
          </w:hyperlink>
        </w:p>
        <w:p w14:paraId="3C4080C2" w14:textId="2D407081" w:rsidR="00851CFC" w:rsidRDefault="00851CFC">
          <w:pPr>
            <w:pStyle w:val="TOC2"/>
            <w:rPr>
              <w:rFonts w:eastAsiaTheme="minorEastAsia"/>
              <w:kern w:val="2"/>
              <w:sz w:val="24"/>
              <w:szCs w:val="24"/>
              <w:lang w:eastAsia="en-AU"/>
              <w14:ligatures w14:val="standardContextual"/>
            </w:rPr>
          </w:pPr>
          <w:hyperlink w:anchor="_Toc174097860" w:history="1">
            <w:r w:rsidRPr="009D5266">
              <w:rPr>
                <w:rStyle w:val="Hyperlink"/>
                <w:lang w:eastAsia="ja-JP"/>
              </w:rPr>
              <w:t>NBS priority area 4: Coordinated preparedness and response</w:t>
            </w:r>
            <w:r>
              <w:rPr>
                <w:webHidden/>
              </w:rPr>
              <w:tab/>
            </w:r>
            <w:r>
              <w:rPr>
                <w:webHidden/>
              </w:rPr>
              <w:fldChar w:fldCharType="begin"/>
            </w:r>
            <w:r>
              <w:rPr>
                <w:webHidden/>
              </w:rPr>
              <w:instrText xml:space="preserve"> PAGEREF _Toc174097860 \h </w:instrText>
            </w:r>
            <w:r>
              <w:rPr>
                <w:webHidden/>
              </w:rPr>
            </w:r>
            <w:r>
              <w:rPr>
                <w:webHidden/>
              </w:rPr>
              <w:fldChar w:fldCharType="separate"/>
            </w:r>
            <w:r>
              <w:rPr>
                <w:webHidden/>
              </w:rPr>
              <w:t>8</w:t>
            </w:r>
            <w:r>
              <w:rPr>
                <w:webHidden/>
              </w:rPr>
              <w:fldChar w:fldCharType="end"/>
            </w:r>
          </w:hyperlink>
        </w:p>
        <w:p w14:paraId="11986F04" w14:textId="0FDFFACB" w:rsidR="00851CFC" w:rsidRDefault="00851CFC">
          <w:pPr>
            <w:pStyle w:val="TOC2"/>
            <w:rPr>
              <w:rFonts w:eastAsiaTheme="minorEastAsia"/>
              <w:kern w:val="2"/>
              <w:sz w:val="24"/>
              <w:szCs w:val="24"/>
              <w:lang w:eastAsia="en-AU"/>
              <w14:ligatures w14:val="standardContextual"/>
            </w:rPr>
          </w:pPr>
          <w:hyperlink w:anchor="_Toc174097861" w:history="1">
            <w:r w:rsidRPr="009D5266">
              <w:rPr>
                <w:rStyle w:val="Hyperlink"/>
                <w:lang w:eastAsia="ja-JP"/>
              </w:rPr>
              <w:t>NBS priority area 5: Sustainable investment</w:t>
            </w:r>
            <w:r>
              <w:rPr>
                <w:webHidden/>
              </w:rPr>
              <w:tab/>
            </w:r>
            <w:r>
              <w:rPr>
                <w:webHidden/>
              </w:rPr>
              <w:fldChar w:fldCharType="begin"/>
            </w:r>
            <w:r>
              <w:rPr>
                <w:webHidden/>
              </w:rPr>
              <w:instrText xml:space="preserve"> PAGEREF _Toc174097861 \h </w:instrText>
            </w:r>
            <w:r>
              <w:rPr>
                <w:webHidden/>
              </w:rPr>
            </w:r>
            <w:r>
              <w:rPr>
                <w:webHidden/>
              </w:rPr>
              <w:fldChar w:fldCharType="separate"/>
            </w:r>
            <w:r>
              <w:rPr>
                <w:webHidden/>
              </w:rPr>
              <w:t>10</w:t>
            </w:r>
            <w:r>
              <w:rPr>
                <w:webHidden/>
              </w:rPr>
              <w:fldChar w:fldCharType="end"/>
            </w:r>
          </w:hyperlink>
        </w:p>
        <w:p w14:paraId="1FE7AC72" w14:textId="712DE38C" w:rsidR="00851CFC" w:rsidRDefault="00851CFC">
          <w:pPr>
            <w:pStyle w:val="TOC2"/>
            <w:rPr>
              <w:rFonts w:eastAsiaTheme="minorEastAsia"/>
              <w:kern w:val="2"/>
              <w:sz w:val="24"/>
              <w:szCs w:val="24"/>
              <w:lang w:eastAsia="en-AU"/>
              <w14:ligatures w14:val="standardContextual"/>
            </w:rPr>
          </w:pPr>
          <w:hyperlink w:anchor="_Toc174097862" w:history="1">
            <w:r w:rsidRPr="009D5266">
              <w:rPr>
                <w:rStyle w:val="Hyperlink"/>
              </w:rPr>
              <w:t>NBS Priority</w:t>
            </w:r>
            <w:r w:rsidRPr="009D5266">
              <w:rPr>
                <w:rStyle w:val="Hyperlink"/>
                <w:lang w:eastAsia="ja-JP"/>
              </w:rPr>
              <w:t xml:space="preserve"> area 6: Integration supported by technology, research and data</w:t>
            </w:r>
            <w:r>
              <w:rPr>
                <w:webHidden/>
              </w:rPr>
              <w:tab/>
            </w:r>
            <w:r>
              <w:rPr>
                <w:webHidden/>
              </w:rPr>
              <w:fldChar w:fldCharType="begin"/>
            </w:r>
            <w:r>
              <w:rPr>
                <w:webHidden/>
              </w:rPr>
              <w:instrText xml:space="preserve"> PAGEREF _Toc174097862 \h </w:instrText>
            </w:r>
            <w:r>
              <w:rPr>
                <w:webHidden/>
              </w:rPr>
            </w:r>
            <w:r>
              <w:rPr>
                <w:webHidden/>
              </w:rPr>
              <w:fldChar w:fldCharType="separate"/>
            </w:r>
            <w:r>
              <w:rPr>
                <w:webHidden/>
              </w:rPr>
              <w:t>11</w:t>
            </w:r>
            <w:r>
              <w:rPr>
                <w:webHidden/>
              </w:rPr>
              <w:fldChar w:fldCharType="end"/>
            </w:r>
          </w:hyperlink>
        </w:p>
        <w:p w14:paraId="15CF498A" w14:textId="2A8CF9DE" w:rsidR="00851CFC" w:rsidRDefault="00851CFC">
          <w:pPr>
            <w:pStyle w:val="TOC1"/>
            <w:rPr>
              <w:rFonts w:eastAsiaTheme="minorEastAsia"/>
              <w:b w:val="0"/>
              <w:kern w:val="2"/>
              <w:sz w:val="24"/>
              <w:szCs w:val="24"/>
              <w:lang w:eastAsia="en-AU"/>
              <w14:ligatures w14:val="standardContextual"/>
            </w:rPr>
          </w:pPr>
          <w:hyperlink w:anchor="_Toc174097863" w:history="1">
            <w:r w:rsidRPr="009D5266">
              <w:rPr>
                <w:rStyle w:val="Hyperlink"/>
              </w:rPr>
              <w:t>Monitoring and evaluation</w:t>
            </w:r>
            <w:r>
              <w:rPr>
                <w:webHidden/>
              </w:rPr>
              <w:tab/>
            </w:r>
            <w:r>
              <w:rPr>
                <w:webHidden/>
              </w:rPr>
              <w:fldChar w:fldCharType="begin"/>
            </w:r>
            <w:r>
              <w:rPr>
                <w:webHidden/>
              </w:rPr>
              <w:instrText xml:space="preserve"> PAGEREF _Toc174097863 \h </w:instrText>
            </w:r>
            <w:r>
              <w:rPr>
                <w:webHidden/>
              </w:rPr>
            </w:r>
            <w:r>
              <w:rPr>
                <w:webHidden/>
              </w:rPr>
              <w:fldChar w:fldCharType="separate"/>
            </w:r>
            <w:r>
              <w:rPr>
                <w:webHidden/>
              </w:rPr>
              <w:t>13</w:t>
            </w:r>
            <w:r>
              <w:rPr>
                <w:webHidden/>
              </w:rPr>
              <w:fldChar w:fldCharType="end"/>
            </w:r>
          </w:hyperlink>
        </w:p>
        <w:p w14:paraId="4C44E87B" w14:textId="78A576CC" w:rsidR="00851CFC" w:rsidRDefault="00851CFC">
          <w:pPr>
            <w:pStyle w:val="TOC1"/>
            <w:rPr>
              <w:rFonts w:eastAsiaTheme="minorEastAsia"/>
              <w:b w:val="0"/>
              <w:kern w:val="2"/>
              <w:sz w:val="24"/>
              <w:szCs w:val="24"/>
              <w:lang w:eastAsia="en-AU"/>
              <w14:ligatures w14:val="standardContextual"/>
            </w:rPr>
          </w:pPr>
          <w:hyperlink w:anchor="_Toc174097864" w:history="1">
            <w:r w:rsidRPr="009D5266">
              <w:rPr>
                <w:rStyle w:val="Hyperlink"/>
              </w:rPr>
              <w:t>Appendix A: NBS priority areas and initial actions</w:t>
            </w:r>
            <w:r>
              <w:rPr>
                <w:webHidden/>
              </w:rPr>
              <w:tab/>
            </w:r>
            <w:r>
              <w:rPr>
                <w:webHidden/>
              </w:rPr>
              <w:fldChar w:fldCharType="begin"/>
            </w:r>
            <w:r>
              <w:rPr>
                <w:webHidden/>
              </w:rPr>
              <w:instrText xml:space="preserve"> PAGEREF _Toc174097864 \h </w:instrText>
            </w:r>
            <w:r>
              <w:rPr>
                <w:webHidden/>
              </w:rPr>
            </w:r>
            <w:r>
              <w:rPr>
                <w:webHidden/>
              </w:rPr>
              <w:fldChar w:fldCharType="separate"/>
            </w:r>
            <w:r>
              <w:rPr>
                <w:webHidden/>
              </w:rPr>
              <w:t>14</w:t>
            </w:r>
            <w:r>
              <w:rPr>
                <w:webHidden/>
              </w:rPr>
              <w:fldChar w:fldCharType="end"/>
            </w:r>
          </w:hyperlink>
        </w:p>
        <w:p w14:paraId="0A979D1D" w14:textId="7B4E915A" w:rsidR="00851CFC" w:rsidRDefault="00851CFC">
          <w:pPr>
            <w:pStyle w:val="TOC1"/>
            <w:rPr>
              <w:rFonts w:eastAsiaTheme="minorEastAsia"/>
              <w:b w:val="0"/>
              <w:kern w:val="2"/>
              <w:sz w:val="24"/>
              <w:szCs w:val="24"/>
              <w:lang w:eastAsia="en-AU"/>
              <w14:ligatures w14:val="standardContextual"/>
            </w:rPr>
          </w:pPr>
          <w:hyperlink w:anchor="_Toc174097865" w:history="1">
            <w:r w:rsidRPr="009D5266">
              <w:rPr>
                <w:rStyle w:val="Hyperlink"/>
              </w:rPr>
              <w:t>Appendix B: Activities for future consideration</w:t>
            </w:r>
            <w:r>
              <w:rPr>
                <w:webHidden/>
              </w:rPr>
              <w:tab/>
            </w:r>
            <w:r>
              <w:rPr>
                <w:webHidden/>
              </w:rPr>
              <w:fldChar w:fldCharType="begin"/>
            </w:r>
            <w:r>
              <w:rPr>
                <w:webHidden/>
              </w:rPr>
              <w:instrText xml:space="preserve"> PAGEREF _Toc174097865 \h </w:instrText>
            </w:r>
            <w:r>
              <w:rPr>
                <w:webHidden/>
              </w:rPr>
            </w:r>
            <w:r>
              <w:rPr>
                <w:webHidden/>
              </w:rPr>
              <w:fldChar w:fldCharType="separate"/>
            </w:r>
            <w:r>
              <w:rPr>
                <w:webHidden/>
              </w:rPr>
              <w:t>15</w:t>
            </w:r>
            <w:r>
              <w:rPr>
                <w:webHidden/>
              </w:rPr>
              <w:fldChar w:fldCharType="end"/>
            </w:r>
          </w:hyperlink>
        </w:p>
        <w:p w14:paraId="7573209F" w14:textId="5B358850" w:rsidR="00851CFC" w:rsidRDefault="00851CFC">
          <w:pPr>
            <w:pStyle w:val="TOC1"/>
            <w:rPr>
              <w:rFonts w:eastAsiaTheme="minorEastAsia"/>
              <w:b w:val="0"/>
              <w:kern w:val="2"/>
              <w:sz w:val="24"/>
              <w:szCs w:val="24"/>
              <w:lang w:eastAsia="en-AU"/>
              <w14:ligatures w14:val="standardContextual"/>
            </w:rPr>
          </w:pPr>
          <w:hyperlink w:anchor="_Toc174097866" w:history="1">
            <w:r w:rsidRPr="009D5266">
              <w:rPr>
                <w:rStyle w:val="Hyperlink"/>
              </w:rPr>
              <w:t>Glossary</w:t>
            </w:r>
            <w:r>
              <w:rPr>
                <w:webHidden/>
              </w:rPr>
              <w:tab/>
            </w:r>
            <w:r>
              <w:rPr>
                <w:webHidden/>
              </w:rPr>
              <w:fldChar w:fldCharType="begin"/>
            </w:r>
            <w:r>
              <w:rPr>
                <w:webHidden/>
              </w:rPr>
              <w:instrText xml:space="preserve"> PAGEREF _Toc174097866 \h </w:instrText>
            </w:r>
            <w:r>
              <w:rPr>
                <w:webHidden/>
              </w:rPr>
            </w:r>
            <w:r>
              <w:rPr>
                <w:webHidden/>
              </w:rPr>
              <w:fldChar w:fldCharType="separate"/>
            </w:r>
            <w:r>
              <w:rPr>
                <w:webHidden/>
              </w:rPr>
              <w:t>17</w:t>
            </w:r>
            <w:r>
              <w:rPr>
                <w:webHidden/>
              </w:rPr>
              <w:fldChar w:fldCharType="end"/>
            </w:r>
          </w:hyperlink>
        </w:p>
        <w:p w14:paraId="705D39A1" w14:textId="5CB771B7" w:rsidR="00764D6A" w:rsidRDefault="00E91D72" w:rsidP="004B3F30">
          <w:pPr>
            <w:pStyle w:val="TOC1"/>
          </w:pPr>
          <w:r>
            <w:rPr>
              <w:b w:val="0"/>
            </w:rPr>
            <w:fldChar w:fldCharType="end"/>
          </w:r>
        </w:p>
      </w:sdtContent>
    </w:sdt>
    <w:p w14:paraId="4378CC40" w14:textId="77777777" w:rsidR="00764D6A" w:rsidRDefault="00E91D72" w:rsidP="00FE2597">
      <w:pPr>
        <w:pStyle w:val="TOCHeading2"/>
        <w:rPr>
          <w:rStyle w:val="Strong"/>
        </w:rPr>
      </w:pPr>
      <w:r w:rsidRPr="00FE2597">
        <w:rPr>
          <w:rStyle w:val="Strong"/>
          <w:b/>
          <w:bCs w:val="0"/>
        </w:rPr>
        <w:t>Tables</w:t>
      </w:r>
    </w:p>
    <w:p w14:paraId="186E0DA5" w14:textId="6315456E" w:rsidR="00DC2B49" w:rsidRDefault="00E91D72">
      <w:pPr>
        <w:pStyle w:val="TableofFigures"/>
        <w:tabs>
          <w:tab w:val="right" w:leader="dot" w:pos="9060"/>
        </w:tabs>
        <w:rPr>
          <w:rFonts w:eastAsiaTheme="minorEastAsia"/>
          <w:noProof/>
          <w:kern w:val="2"/>
          <w:sz w:val="24"/>
          <w:szCs w:val="24"/>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72303486" w:history="1">
        <w:r w:rsidR="00DC2B49" w:rsidRPr="009A2613">
          <w:rPr>
            <w:rStyle w:val="Hyperlink"/>
            <w:noProof/>
          </w:rPr>
          <w:t>Table 1 Activities for NBS priority area 1</w:t>
        </w:r>
        <w:r w:rsidR="00DC2B49">
          <w:rPr>
            <w:noProof/>
            <w:webHidden/>
          </w:rPr>
          <w:tab/>
        </w:r>
        <w:r w:rsidR="00DC2B49">
          <w:rPr>
            <w:noProof/>
            <w:webHidden/>
          </w:rPr>
          <w:fldChar w:fldCharType="begin"/>
        </w:r>
        <w:r w:rsidR="00DC2B49">
          <w:rPr>
            <w:noProof/>
            <w:webHidden/>
          </w:rPr>
          <w:instrText xml:space="preserve"> PAGEREF _Toc172303486 \h </w:instrText>
        </w:r>
        <w:r w:rsidR="00DC2B49">
          <w:rPr>
            <w:noProof/>
            <w:webHidden/>
          </w:rPr>
        </w:r>
        <w:r w:rsidR="00DC2B49">
          <w:rPr>
            <w:noProof/>
            <w:webHidden/>
          </w:rPr>
          <w:fldChar w:fldCharType="separate"/>
        </w:r>
        <w:r w:rsidR="006072E5">
          <w:rPr>
            <w:noProof/>
            <w:webHidden/>
          </w:rPr>
          <w:t>4</w:t>
        </w:r>
        <w:r w:rsidR="00DC2B49">
          <w:rPr>
            <w:noProof/>
            <w:webHidden/>
          </w:rPr>
          <w:fldChar w:fldCharType="end"/>
        </w:r>
      </w:hyperlink>
    </w:p>
    <w:p w14:paraId="510E2418" w14:textId="4BA5262B" w:rsidR="00DC2B49" w:rsidRDefault="00DC2B49">
      <w:pPr>
        <w:pStyle w:val="TableofFigures"/>
        <w:tabs>
          <w:tab w:val="right" w:leader="dot" w:pos="9060"/>
        </w:tabs>
        <w:rPr>
          <w:rFonts w:eastAsiaTheme="minorEastAsia"/>
          <w:noProof/>
          <w:kern w:val="2"/>
          <w:sz w:val="24"/>
          <w:szCs w:val="24"/>
          <w:lang w:eastAsia="en-AU"/>
          <w14:ligatures w14:val="standardContextual"/>
        </w:rPr>
      </w:pPr>
      <w:hyperlink w:anchor="_Toc172303487" w:history="1">
        <w:r w:rsidRPr="009A2613">
          <w:rPr>
            <w:rStyle w:val="Hyperlink"/>
            <w:noProof/>
          </w:rPr>
          <w:t xml:space="preserve">Table 2 </w:t>
        </w:r>
        <w:r w:rsidRPr="009A2613">
          <w:rPr>
            <w:rStyle w:val="Hyperlink"/>
            <w:noProof/>
            <w:lang w:eastAsia="ja-JP"/>
          </w:rPr>
          <w:t>Activities for NBS priority area 2</w:t>
        </w:r>
        <w:r>
          <w:rPr>
            <w:noProof/>
            <w:webHidden/>
          </w:rPr>
          <w:tab/>
        </w:r>
        <w:r>
          <w:rPr>
            <w:noProof/>
            <w:webHidden/>
          </w:rPr>
          <w:fldChar w:fldCharType="begin"/>
        </w:r>
        <w:r>
          <w:rPr>
            <w:noProof/>
            <w:webHidden/>
          </w:rPr>
          <w:instrText xml:space="preserve"> PAGEREF _Toc172303487 \h </w:instrText>
        </w:r>
        <w:r>
          <w:rPr>
            <w:noProof/>
            <w:webHidden/>
          </w:rPr>
        </w:r>
        <w:r>
          <w:rPr>
            <w:noProof/>
            <w:webHidden/>
          </w:rPr>
          <w:fldChar w:fldCharType="separate"/>
        </w:r>
        <w:r w:rsidR="006072E5">
          <w:rPr>
            <w:noProof/>
            <w:webHidden/>
          </w:rPr>
          <w:t>5</w:t>
        </w:r>
        <w:r>
          <w:rPr>
            <w:noProof/>
            <w:webHidden/>
          </w:rPr>
          <w:fldChar w:fldCharType="end"/>
        </w:r>
      </w:hyperlink>
    </w:p>
    <w:p w14:paraId="268B8C8E" w14:textId="7A4EF1C9" w:rsidR="00DC2B49" w:rsidRDefault="00DC2B49">
      <w:pPr>
        <w:pStyle w:val="TableofFigures"/>
        <w:tabs>
          <w:tab w:val="right" w:leader="dot" w:pos="9060"/>
        </w:tabs>
        <w:rPr>
          <w:rFonts w:eastAsiaTheme="minorEastAsia"/>
          <w:noProof/>
          <w:kern w:val="2"/>
          <w:sz w:val="24"/>
          <w:szCs w:val="24"/>
          <w:lang w:eastAsia="en-AU"/>
          <w14:ligatures w14:val="standardContextual"/>
        </w:rPr>
      </w:pPr>
      <w:hyperlink w:anchor="_Toc172303488" w:history="1">
        <w:r w:rsidRPr="009A2613">
          <w:rPr>
            <w:rStyle w:val="Hyperlink"/>
            <w:noProof/>
          </w:rPr>
          <w:t>Table 3 A</w:t>
        </w:r>
        <w:r w:rsidRPr="009A2613">
          <w:rPr>
            <w:rStyle w:val="Hyperlink"/>
            <w:noProof/>
            <w:lang w:eastAsia="ja-JP"/>
          </w:rPr>
          <w:t>ctivities for NBS priority area 3</w:t>
        </w:r>
        <w:r>
          <w:rPr>
            <w:noProof/>
            <w:webHidden/>
          </w:rPr>
          <w:tab/>
        </w:r>
        <w:r>
          <w:rPr>
            <w:noProof/>
            <w:webHidden/>
          </w:rPr>
          <w:fldChar w:fldCharType="begin"/>
        </w:r>
        <w:r>
          <w:rPr>
            <w:noProof/>
            <w:webHidden/>
          </w:rPr>
          <w:instrText xml:space="preserve"> PAGEREF _Toc172303488 \h </w:instrText>
        </w:r>
        <w:r>
          <w:rPr>
            <w:noProof/>
            <w:webHidden/>
          </w:rPr>
        </w:r>
        <w:r>
          <w:rPr>
            <w:noProof/>
            <w:webHidden/>
          </w:rPr>
          <w:fldChar w:fldCharType="separate"/>
        </w:r>
        <w:r w:rsidR="006072E5">
          <w:rPr>
            <w:noProof/>
            <w:webHidden/>
          </w:rPr>
          <w:t>7</w:t>
        </w:r>
        <w:r>
          <w:rPr>
            <w:noProof/>
            <w:webHidden/>
          </w:rPr>
          <w:fldChar w:fldCharType="end"/>
        </w:r>
      </w:hyperlink>
    </w:p>
    <w:p w14:paraId="529BE346" w14:textId="7E8700EE" w:rsidR="00DC2B49" w:rsidRDefault="00DC2B49">
      <w:pPr>
        <w:pStyle w:val="TableofFigures"/>
        <w:tabs>
          <w:tab w:val="right" w:leader="dot" w:pos="9060"/>
        </w:tabs>
        <w:rPr>
          <w:rFonts w:eastAsiaTheme="minorEastAsia"/>
          <w:noProof/>
          <w:kern w:val="2"/>
          <w:sz w:val="24"/>
          <w:szCs w:val="24"/>
          <w:lang w:eastAsia="en-AU"/>
          <w14:ligatures w14:val="standardContextual"/>
        </w:rPr>
      </w:pPr>
      <w:hyperlink w:anchor="_Toc172303489" w:history="1">
        <w:r w:rsidRPr="009A2613">
          <w:rPr>
            <w:rStyle w:val="Hyperlink"/>
            <w:noProof/>
          </w:rPr>
          <w:t>Table 4 Activities for NBS priority area 4</w:t>
        </w:r>
        <w:r>
          <w:rPr>
            <w:noProof/>
            <w:webHidden/>
          </w:rPr>
          <w:tab/>
        </w:r>
        <w:r>
          <w:rPr>
            <w:noProof/>
            <w:webHidden/>
          </w:rPr>
          <w:fldChar w:fldCharType="begin"/>
        </w:r>
        <w:r>
          <w:rPr>
            <w:noProof/>
            <w:webHidden/>
          </w:rPr>
          <w:instrText xml:space="preserve"> PAGEREF _Toc172303489 \h </w:instrText>
        </w:r>
        <w:r>
          <w:rPr>
            <w:noProof/>
            <w:webHidden/>
          </w:rPr>
        </w:r>
        <w:r>
          <w:rPr>
            <w:noProof/>
            <w:webHidden/>
          </w:rPr>
          <w:fldChar w:fldCharType="separate"/>
        </w:r>
        <w:r w:rsidR="006072E5">
          <w:rPr>
            <w:noProof/>
            <w:webHidden/>
          </w:rPr>
          <w:t>8</w:t>
        </w:r>
        <w:r>
          <w:rPr>
            <w:noProof/>
            <w:webHidden/>
          </w:rPr>
          <w:fldChar w:fldCharType="end"/>
        </w:r>
      </w:hyperlink>
    </w:p>
    <w:p w14:paraId="416ADD68" w14:textId="39FA9777" w:rsidR="00DC2B49" w:rsidRDefault="00DC2B49">
      <w:pPr>
        <w:pStyle w:val="TableofFigures"/>
        <w:tabs>
          <w:tab w:val="right" w:leader="dot" w:pos="9060"/>
        </w:tabs>
        <w:rPr>
          <w:rFonts w:eastAsiaTheme="minorEastAsia"/>
          <w:noProof/>
          <w:kern w:val="2"/>
          <w:sz w:val="24"/>
          <w:szCs w:val="24"/>
          <w:lang w:eastAsia="en-AU"/>
          <w14:ligatures w14:val="standardContextual"/>
        </w:rPr>
      </w:pPr>
      <w:hyperlink w:anchor="_Toc172303490" w:history="1">
        <w:r w:rsidRPr="009A2613">
          <w:rPr>
            <w:rStyle w:val="Hyperlink"/>
            <w:noProof/>
          </w:rPr>
          <w:t xml:space="preserve">Table 5 </w:t>
        </w:r>
        <w:r w:rsidRPr="009A2613">
          <w:rPr>
            <w:rStyle w:val="Hyperlink"/>
            <w:noProof/>
            <w:lang w:eastAsia="ja-JP"/>
          </w:rPr>
          <w:t>Activities for NBS priority area 5</w:t>
        </w:r>
        <w:r>
          <w:rPr>
            <w:noProof/>
            <w:webHidden/>
          </w:rPr>
          <w:tab/>
        </w:r>
        <w:r>
          <w:rPr>
            <w:noProof/>
            <w:webHidden/>
          </w:rPr>
          <w:fldChar w:fldCharType="begin"/>
        </w:r>
        <w:r>
          <w:rPr>
            <w:noProof/>
            <w:webHidden/>
          </w:rPr>
          <w:instrText xml:space="preserve"> PAGEREF _Toc172303490 \h </w:instrText>
        </w:r>
        <w:r>
          <w:rPr>
            <w:noProof/>
            <w:webHidden/>
          </w:rPr>
        </w:r>
        <w:r>
          <w:rPr>
            <w:noProof/>
            <w:webHidden/>
          </w:rPr>
          <w:fldChar w:fldCharType="separate"/>
        </w:r>
        <w:r w:rsidR="006072E5">
          <w:rPr>
            <w:noProof/>
            <w:webHidden/>
          </w:rPr>
          <w:t>10</w:t>
        </w:r>
        <w:r>
          <w:rPr>
            <w:noProof/>
            <w:webHidden/>
          </w:rPr>
          <w:fldChar w:fldCharType="end"/>
        </w:r>
      </w:hyperlink>
    </w:p>
    <w:p w14:paraId="5719A3BC" w14:textId="3350C760" w:rsidR="00DC2B49" w:rsidRDefault="00DC2B49">
      <w:pPr>
        <w:pStyle w:val="TableofFigures"/>
        <w:tabs>
          <w:tab w:val="right" w:leader="dot" w:pos="9060"/>
        </w:tabs>
        <w:rPr>
          <w:noProof/>
        </w:rPr>
      </w:pPr>
      <w:hyperlink w:anchor="_Toc172303491" w:history="1">
        <w:r w:rsidRPr="009A2613">
          <w:rPr>
            <w:rStyle w:val="Hyperlink"/>
            <w:noProof/>
          </w:rPr>
          <w:t xml:space="preserve">Table 6 </w:t>
        </w:r>
        <w:r w:rsidRPr="009A2613">
          <w:rPr>
            <w:rStyle w:val="Hyperlink"/>
            <w:noProof/>
            <w:lang w:eastAsia="ja-JP"/>
          </w:rPr>
          <w:t>Activities for NBS priority area 6</w:t>
        </w:r>
        <w:r>
          <w:rPr>
            <w:noProof/>
            <w:webHidden/>
          </w:rPr>
          <w:tab/>
        </w:r>
        <w:r>
          <w:rPr>
            <w:noProof/>
            <w:webHidden/>
          </w:rPr>
          <w:fldChar w:fldCharType="begin"/>
        </w:r>
        <w:r>
          <w:rPr>
            <w:noProof/>
            <w:webHidden/>
          </w:rPr>
          <w:instrText xml:space="preserve"> PAGEREF _Toc172303491 \h </w:instrText>
        </w:r>
        <w:r>
          <w:rPr>
            <w:noProof/>
            <w:webHidden/>
          </w:rPr>
        </w:r>
        <w:r>
          <w:rPr>
            <w:noProof/>
            <w:webHidden/>
          </w:rPr>
          <w:fldChar w:fldCharType="separate"/>
        </w:r>
        <w:r w:rsidR="006072E5">
          <w:rPr>
            <w:noProof/>
            <w:webHidden/>
          </w:rPr>
          <w:t>11</w:t>
        </w:r>
        <w:r>
          <w:rPr>
            <w:noProof/>
            <w:webHidden/>
          </w:rPr>
          <w:fldChar w:fldCharType="end"/>
        </w:r>
      </w:hyperlink>
      <w:r w:rsidR="00E91D72">
        <w:rPr>
          <w:noProof/>
        </w:rPr>
        <w:fldChar w:fldCharType="end"/>
      </w:r>
      <w:r w:rsidR="00E91D72">
        <w:fldChar w:fldCharType="begin"/>
      </w:r>
      <w:r w:rsidR="00E91D72">
        <w:instrText xml:space="preserve"> TOC \h \z \c "Table A" </w:instrText>
      </w:r>
      <w:r w:rsidR="00E91D72">
        <w:fldChar w:fldCharType="separate"/>
      </w:r>
    </w:p>
    <w:p w14:paraId="7222CD3F" w14:textId="650A2C20" w:rsidR="00DC2B49" w:rsidRDefault="00DC2B49">
      <w:pPr>
        <w:pStyle w:val="TableofFigures"/>
        <w:tabs>
          <w:tab w:val="right" w:leader="dot" w:pos="9060"/>
        </w:tabs>
        <w:rPr>
          <w:noProof/>
        </w:rPr>
      </w:pPr>
      <w:hyperlink w:anchor="_Toc172303492" w:history="1">
        <w:r w:rsidRPr="00030AEC">
          <w:rPr>
            <w:rStyle w:val="Hyperlink"/>
            <w:noProof/>
          </w:rPr>
          <w:t>Table A1 Priority areas and 36 initial actions outlined in the NBS</w:t>
        </w:r>
        <w:r>
          <w:rPr>
            <w:noProof/>
            <w:webHidden/>
          </w:rPr>
          <w:tab/>
        </w:r>
        <w:r>
          <w:rPr>
            <w:noProof/>
            <w:webHidden/>
          </w:rPr>
          <w:fldChar w:fldCharType="begin"/>
        </w:r>
        <w:r>
          <w:rPr>
            <w:noProof/>
            <w:webHidden/>
          </w:rPr>
          <w:instrText xml:space="preserve"> PAGEREF _Toc172303492 \h </w:instrText>
        </w:r>
        <w:r>
          <w:rPr>
            <w:noProof/>
            <w:webHidden/>
          </w:rPr>
        </w:r>
        <w:r>
          <w:rPr>
            <w:noProof/>
            <w:webHidden/>
          </w:rPr>
          <w:fldChar w:fldCharType="separate"/>
        </w:r>
        <w:r w:rsidR="006072E5">
          <w:rPr>
            <w:noProof/>
            <w:webHidden/>
          </w:rPr>
          <w:t>14</w:t>
        </w:r>
        <w:r>
          <w:rPr>
            <w:noProof/>
            <w:webHidden/>
          </w:rPr>
          <w:fldChar w:fldCharType="end"/>
        </w:r>
      </w:hyperlink>
      <w:r w:rsidR="00E91D72">
        <w:fldChar w:fldCharType="end"/>
      </w:r>
      <w:r w:rsidR="00E91D72">
        <w:fldChar w:fldCharType="begin"/>
      </w:r>
      <w:r w:rsidR="00E91D72">
        <w:instrText xml:space="preserve"> TOC \h \z \c "Table B" </w:instrText>
      </w:r>
      <w:r w:rsidR="00E91D72">
        <w:fldChar w:fldCharType="separate"/>
      </w:r>
    </w:p>
    <w:p w14:paraId="3C28F122" w14:textId="3D21A583" w:rsidR="00DC2B49" w:rsidRDefault="00DC2B49">
      <w:pPr>
        <w:pStyle w:val="TableofFigures"/>
        <w:tabs>
          <w:tab w:val="right" w:leader="dot" w:pos="9060"/>
        </w:tabs>
        <w:rPr>
          <w:rFonts w:eastAsiaTheme="minorEastAsia"/>
          <w:noProof/>
          <w:kern w:val="2"/>
          <w:sz w:val="24"/>
          <w:szCs w:val="24"/>
          <w:lang w:eastAsia="en-AU"/>
          <w14:ligatures w14:val="standardContextual"/>
        </w:rPr>
      </w:pPr>
      <w:hyperlink w:anchor="_Toc172303493" w:history="1">
        <w:r w:rsidRPr="004569A5">
          <w:rPr>
            <w:rStyle w:val="Hyperlink"/>
            <w:noProof/>
          </w:rPr>
          <w:t>Table B1 Activities for consideration under future action plans</w:t>
        </w:r>
        <w:r>
          <w:rPr>
            <w:noProof/>
            <w:webHidden/>
          </w:rPr>
          <w:tab/>
        </w:r>
        <w:r>
          <w:rPr>
            <w:noProof/>
            <w:webHidden/>
          </w:rPr>
          <w:fldChar w:fldCharType="begin"/>
        </w:r>
        <w:r>
          <w:rPr>
            <w:noProof/>
            <w:webHidden/>
          </w:rPr>
          <w:instrText xml:space="preserve"> PAGEREF _Toc172303493 \h </w:instrText>
        </w:r>
        <w:r>
          <w:rPr>
            <w:noProof/>
            <w:webHidden/>
          </w:rPr>
        </w:r>
        <w:r>
          <w:rPr>
            <w:noProof/>
            <w:webHidden/>
          </w:rPr>
          <w:fldChar w:fldCharType="separate"/>
        </w:r>
        <w:r w:rsidR="006072E5">
          <w:rPr>
            <w:noProof/>
            <w:webHidden/>
          </w:rPr>
          <w:t>15</w:t>
        </w:r>
        <w:r>
          <w:rPr>
            <w:noProof/>
            <w:webHidden/>
          </w:rPr>
          <w:fldChar w:fldCharType="end"/>
        </w:r>
      </w:hyperlink>
    </w:p>
    <w:p w14:paraId="356465FA" w14:textId="7A187BDE" w:rsidR="00764D6A" w:rsidRPr="00FE2597" w:rsidRDefault="00E91D72" w:rsidP="00FE2597">
      <w:pPr>
        <w:pStyle w:val="TOCHeading2"/>
      </w:pPr>
      <w:r>
        <w:fldChar w:fldCharType="end"/>
      </w:r>
      <w:r w:rsidRPr="00FE2597">
        <w:t>Figures</w:t>
      </w:r>
    </w:p>
    <w:p w14:paraId="2201B750" w14:textId="5248503B" w:rsidR="000C5B13" w:rsidRPr="000C5B13" w:rsidRDefault="00E91D72" w:rsidP="00FE2597">
      <w:pPr>
        <w:pStyle w:val="TableofFigures"/>
        <w:tabs>
          <w:tab w:val="right" w:leader="dot" w:pos="9060"/>
        </w:tabs>
      </w:pPr>
      <w:r>
        <w:fldChar w:fldCharType="begin"/>
      </w:r>
      <w:r>
        <w:instrText xml:space="preserve"> TOC \h \z \c "Figure" </w:instrText>
      </w:r>
      <w:r>
        <w:fldChar w:fldCharType="separate"/>
      </w:r>
      <w:hyperlink w:anchor="_Toc172303494" w:history="1">
        <w:r w:rsidR="00DC2B49" w:rsidRPr="005604E7">
          <w:rPr>
            <w:rStyle w:val="Hyperlink"/>
            <w:noProof/>
          </w:rPr>
          <w:t xml:space="preserve">Figure 1 </w:t>
        </w:r>
        <w:r w:rsidR="00DC2B49" w:rsidRPr="005604E7">
          <w:rPr>
            <w:rStyle w:val="Hyperlink"/>
            <w:noProof/>
            <w:lang w:eastAsia="ja-JP"/>
          </w:rPr>
          <w:t>National Biosecurity Strategy implementation governance structure</w:t>
        </w:r>
        <w:r w:rsidR="00DC2B49">
          <w:rPr>
            <w:noProof/>
            <w:webHidden/>
          </w:rPr>
          <w:tab/>
        </w:r>
        <w:r w:rsidR="00DC2B49">
          <w:rPr>
            <w:noProof/>
            <w:webHidden/>
          </w:rPr>
          <w:fldChar w:fldCharType="begin"/>
        </w:r>
        <w:r w:rsidR="00DC2B49">
          <w:rPr>
            <w:noProof/>
            <w:webHidden/>
          </w:rPr>
          <w:instrText xml:space="preserve"> PAGEREF _Toc172303494 \h </w:instrText>
        </w:r>
        <w:r w:rsidR="00DC2B49">
          <w:rPr>
            <w:noProof/>
            <w:webHidden/>
          </w:rPr>
        </w:r>
        <w:r w:rsidR="00DC2B49">
          <w:rPr>
            <w:noProof/>
            <w:webHidden/>
          </w:rPr>
          <w:fldChar w:fldCharType="separate"/>
        </w:r>
        <w:r w:rsidR="006072E5">
          <w:rPr>
            <w:noProof/>
            <w:webHidden/>
          </w:rPr>
          <w:t>2</w:t>
        </w:r>
        <w:r w:rsidR="00DC2B49">
          <w:rPr>
            <w:noProof/>
            <w:webHidden/>
          </w:rPr>
          <w:fldChar w:fldCharType="end"/>
        </w:r>
      </w:hyperlink>
      <w:r>
        <w:fldChar w:fldCharType="end"/>
      </w:r>
    </w:p>
    <w:p w14:paraId="36E23A9A" w14:textId="5EBAF9A8" w:rsidR="00764D6A" w:rsidRDefault="000C5B13">
      <w:pPr>
        <w:sectPr w:rsidR="00764D6A" w:rsidSect="00317BF3">
          <w:headerReference w:type="even" r:id="rId16"/>
          <w:headerReference w:type="default" r:id="rId17"/>
          <w:footerReference w:type="even" r:id="rId18"/>
          <w:footerReference w:type="default" r:id="rId19"/>
          <w:headerReference w:type="first" r:id="rId20"/>
          <w:pgSz w:w="11906" w:h="16838"/>
          <w:pgMar w:top="1418" w:right="1418" w:bottom="1418" w:left="1418" w:header="340" w:footer="283" w:gutter="0"/>
          <w:pgNumType w:fmt="lowerRoman" w:start="1"/>
          <w:cols w:space="708"/>
          <w:titlePg/>
          <w:docGrid w:linePitch="360"/>
        </w:sectPr>
      </w:pPr>
      <w:r>
        <w:t xml:space="preserve"> </w:t>
      </w:r>
    </w:p>
    <w:p w14:paraId="1FEEE4D0" w14:textId="2F74C72D" w:rsidR="00764D6A" w:rsidRDefault="00E91D72" w:rsidP="007E39EF">
      <w:pPr>
        <w:pStyle w:val="Heading2"/>
        <w:numPr>
          <w:ilvl w:val="0"/>
          <w:numId w:val="0"/>
        </w:numPr>
        <w:ind w:left="720" w:hanging="720"/>
      </w:pPr>
      <w:bookmarkStart w:id="1" w:name="_Toc430782150"/>
      <w:bookmarkStart w:id="2" w:name="_Toc174097852"/>
      <w:r w:rsidRPr="00DB71A3">
        <w:lastRenderedPageBreak/>
        <w:t>Introduction</w:t>
      </w:r>
      <w:bookmarkEnd w:id="1"/>
      <w:bookmarkEnd w:id="2"/>
    </w:p>
    <w:p w14:paraId="75CC5840" w14:textId="7CD157D8" w:rsidR="00126B3C" w:rsidRDefault="00126B3C" w:rsidP="00126B3C">
      <w:r>
        <w:t>The National Biosecurity Strategy (NBS) provides a 10-year roadmap for Australia’s biosecurity system. A national approach is critical in developing a shared purpose to ensure Australia’s biosecurity system remains strong in a constantly changing and increasingly complex global environment. The NBS provides a collective vision which will continue to guide nationwide activities, planning, and investment priorities with a strategic, coordinated approach.</w:t>
      </w:r>
    </w:p>
    <w:p w14:paraId="3B6287E3" w14:textId="4606CB48" w:rsidR="00126B3C" w:rsidRDefault="00126B3C" w:rsidP="00126B3C">
      <w:r>
        <w:t xml:space="preserve">Australia’s first </w:t>
      </w:r>
      <w:bookmarkStart w:id="3" w:name="_Hlk172296524"/>
      <w:r>
        <w:t xml:space="preserve">National Biosecurity Strategy Action Plan </w:t>
      </w:r>
      <w:bookmarkEnd w:id="3"/>
      <w:r>
        <w:t>outlines the activities that will be delivered between 2024 and 2026</w:t>
      </w:r>
      <w:r w:rsidRPr="00040A3D">
        <w:t xml:space="preserve">, to </w:t>
      </w:r>
      <w:r w:rsidR="006E683E">
        <w:t>implement</w:t>
      </w:r>
      <w:r w:rsidR="0E07A953">
        <w:t xml:space="preserve"> the NBS. </w:t>
      </w:r>
      <w:r>
        <w:t>This includes the 36 initial actions identified under the NBS</w:t>
      </w:r>
      <w:r w:rsidR="00ED1C75">
        <w:t xml:space="preserve"> (see </w:t>
      </w:r>
      <w:hyperlink w:anchor="_Appendix_A:_NBS">
        <w:r w:rsidR="00ED1C75" w:rsidRPr="11265918">
          <w:rPr>
            <w:rStyle w:val="Hyperlink"/>
          </w:rPr>
          <w:t>Appendix A</w:t>
        </w:r>
      </w:hyperlink>
      <w:r w:rsidR="00ED1C75">
        <w:t>)</w:t>
      </w:r>
      <w:r>
        <w:t xml:space="preserve">. The </w:t>
      </w:r>
      <w:r w:rsidR="00B03395">
        <w:t>action plan</w:t>
      </w:r>
      <w:r>
        <w:t xml:space="preserve"> covers activities across the entire system of biosecurity, including </w:t>
      </w:r>
      <w:r w:rsidR="00310CE1">
        <w:t xml:space="preserve">terrestrial and aquatic, </w:t>
      </w:r>
      <w:r>
        <w:t>plant, animal and the environment, Commonwealth, state and territory and local levels.</w:t>
      </w:r>
    </w:p>
    <w:p w14:paraId="0F07E865" w14:textId="4CFD1D6B" w:rsidR="00B82B34" w:rsidRDefault="00126B3C" w:rsidP="00126B3C">
      <w:r>
        <w:t xml:space="preserve">This </w:t>
      </w:r>
      <w:r w:rsidR="00B03395">
        <w:t>action plan</w:t>
      </w:r>
      <w:r>
        <w:t xml:space="preserve"> is a key part of enacting the NBS and should be read in conjunction with the NBS and the </w:t>
      </w:r>
      <w:hyperlink r:id="rId21" w:history="1">
        <w:r w:rsidRPr="00126B3C">
          <w:rPr>
            <w:rStyle w:val="Hyperlink"/>
          </w:rPr>
          <w:t>National Biosecurity Strategy Implementation Plan</w:t>
        </w:r>
      </w:hyperlink>
      <w:r w:rsidR="006F68A7">
        <w:t xml:space="preserve">. </w:t>
      </w:r>
      <w:r>
        <w:t>These are shared documents, developed and delivered by biosecurity stakeholders working together.</w:t>
      </w:r>
      <w:r w:rsidR="00DB4F38">
        <w:t xml:space="preserve"> As part of our commitment to fostering a more inclusive biosecurity system, we are dedicated to aligning our efforts with the National Agreement on Closing the Gap, particularly Priority Reform 3, which focuses on transforming government organisations to better serve and respon</w:t>
      </w:r>
      <w:r w:rsidR="00A11E68">
        <w:t>d</w:t>
      </w:r>
      <w:r w:rsidR="00DB4F38">
        <w:t xml:space="preserve"> to the needs of First Nations communities.</w:t>
      </w:r>
    </w:p>
    <w:p w14:paraId="4E03D406" w14:textId="0645EB9D" w:rsidR="00126B3C" w:rsidRDefault="008E246A" w:rsidP="00126B3C">
      <w:r w:rsidRPr="00F375A3">
        <w:t xml:space="preserve">Recognising effective biosecurity is a collective responsibility, all Australians </w:t>
      </w:r>
      <w:r w:rsidR="00BD3D8C">
        <w:t xml:space="preserve">and </w:t>
      </w:r>
      <w:r w:rsidRPr="00F375A3">
        <w:t xml:space="preserve">sectors play a vital role. This includes </w:t>
      </w:r>
      <w:r w:rsidR="00F36CC6">
        <w:t xml:space="preserve">many </w:t>
      </w:r>
      <w:r w:rsidRPr="00F375A3">
        <w:t>non-government organisations who lead</w:t>
      </w:r>
      <w:r w:rsidR="006C44C8">
        <w:t xml:space="preserve"> and contribute to</w:t>
      </w:r>
      <w:r w:rsidRPr="00F375A3">
        <w:t xml:space="preserve"> pest and disease responses in partnership with agricultural industry, research, governments, and associated industries.</w:t>
      </w:r>
      <w:r w:rsidR="00BD3D8C">
        <w:t xml:space="preserve"> </w:t>
      </w:r>
      <w:r w:rsidR="00126B3C">
        <w:t>Through this collaborative approach, Australia will achieve a more connected, resilient and shared national biosecurity system that is up to the task of countering the threats facing our nation.</w:t>
      </w:r>
      <w:r w:rsidR="008962D8">
        <w:t xml:space="preserve"> </w:t>
      </w:r>
    </w:p>
    <w:p w14:paraId="03E9CBBE" w14:textId="1618248D" w:rsidR="00126B3C" w:rsidRDefault="00126B3C" w:rsidP="00126B3C">
      <w:r>
        <w:t xml:space="preserve">Throughout the NBS’s 10-year program of work, continuous improvement will be a guiding principle to achieving the NBS vision. As a shared initiative, </w:t>
      </w:r>
      <w:r w:rsidR="00B03395">
        <w:t>action plan</w:t>
      </w:r>
      <w:r>
        <w:t xml:space="preserve"> activities will be undertaken collaboratively, including ongoing monitoring, evaluation, and improvements in response to changes in the biosecurity operating environment and biosecurity priorities. This </w:t>
      </w:r>
      <w:r w:rsidR="00B03395">
        <w:t>action plan</w:t>
      </w:r>
      <w:r>
        <w:t xml:space="preserve"> is the first of several to be completed under the NBS.</w:t>
      </w:r>
    </w:p>
    <w:p w14:paraId="61BDE264" w14:textId="58B3783D" w:rsidR="00126B3C" w:rsidRDefault="00126B3C" w:rsidP="000C5B13">
      <w:r>
        <w:t xml:space="preserve">This </w:t>
      </w:r>
      <w:r w:rsidR="00B03395">
        <w:t>action plan</w:t>
      </w:r>
      <w:r>
        <w:t xml:space="preserve"> was developed through valuable contributions from the NBS Implementation Committee (NIC) and its working group members. This </w:t>
      </w:r>
      <w:r w:rsidR="00B03395">
        <w:t>action plan</w:t>
      </w:r>
      <w:r>
        <w:t xml:space="preserve"> acknowledges the considerable work already taking place across the biosecurity system and builds on these commitments and investments in supporting shared delivery of the NBS’s vision to 2032 and beyond.</w:t>
      </w:r>
    </w:p>
    <w:p w14:paraId="5627AC2B" w14:textId="5E3E57FA" w:rsidR="00764D6A" w:rsidRDefault="000C5B13" w:rsidP="000C5B13">
      <w:pPr>
        <w:pStyle w:val="Heading2"/>
        <w:numPr>
          <w:ilvl w:val="0"/>
          <w:numId w:val="0"/>
        </w:numPr>
        <w:ind w:left="720" w:hanging="720"/>
      </w:pPr>
      <w:bookmarkStart w:id="4" w:name="_Toc174097853"/>
      <w:r>
        <w:lastRenderedPageBreak/>
        <w:t>Governance</w:t>
      </w:r>
      <w:bookmarkEnd w:id="4"/>
    </w:p>
    <w:p w14:paraId="6C12C60B" w14:textId="18B03085" w:rsidR="000C5B13" w:rsidRDefault="000C5B13" w:rsidP="000C5B13">
      <w:pPr>
        <w:rPr>
          <w:lang w:eastAsia="ja-JP"/>
        </w:rPr>
      </w:pPr>
      <w:bookmarkStart w:id="5" w:name="_Hlk171603112"/>
      <w:r>
        <w:rPr>
          <w:lang w:eastAsia="ja-JP"/>
        </w:rPr>
        <w:t xml:space="preserve">This </w:t>
      </w:r>
      <w:r w:rsidR="00B03395">
        <w:rPr>
          <w:lang w:eastAsia="ja-JP"/>
        </w:rPr>
        <w:t>action plan</w:t>
      </w:r>
      <w:r>
        <w:rPr>
          <w:lang w:eastAsia="ja-JP"/>
        </w:rPr>
        <w:t xml:space="preserve"> is a shared initiative, and implementation of activities under the </w:t>
      </w:r>
      <w:r w:rsidR="00B03395">
        <w:rPr>
          <w:lang w:eastAsia="ja-JP"/>
        </w:rPr>
        <w:t>action plan</w:t>
      </w:r>
      <w:r>
        <w:rPr>
          <w:lang w:eastAsia="ja-JP"/>
        </w:rPr>
        <w:t xml:space="preserve"> will be undertaken collaboratively. </w:t>
      </w:r>
      <w:r w:rsidR="001B40CB">
        <w:rPr>
          <w:lang w:eastAsia="ja-JP"/>
        </w:rPr>
        <w:fldChar w:fldCharType="begin"/>
      </w:r>
      <w:r w:rsidR="001B40CB">
        <w:rPr>
          <w:lang w:eastAsia="ja-JP"/>
        </w:rPr>
        <w:instrText xml:space="preserve"> REF _Ref171582685 \h </w:instrText>
      </w:r>
      <w:r w:rsidR="001B40CB">
        <w:rPr>
          <w:lang w:eastAsia="ja-JP"/>
        </w:rPr>
      </w:r>
      <w:r w:rsidR="001B40CB">
        <w:rPr>
          <w:lang w:eastAsia="ja-JP"/>
        </w:rPr>
        <w:fldChar w:fldCharType="separate"/>
      </w:r>
      <w:r w:rsidR="006072E5">
        <w:t xml:space="preserve">Figure </w:t>
      </w:r>
      <w:r w:rsidR="006072E5">
        <w:rPr>
          <w:noProof/>
        </w:rPr>
        <w:t>1</w:t>
      </w:r>
      <w:r w:rsidR="001B40CB">
        <w:rPr>
          <w:lang w:eastAsia="ja-JP"/>
        </w:rPr>
        <w:fldChar w:fldCharType="end"/>
      </w:r>
      <w:r w:rsidR="001B40CB">
        <w:rPr>
          <w:lang w:eastAsia="ja-JP"/>
        </w:rPr>
        <w:t xml:space="preserve"> shows NBS governance.</w:t>
      </w:r>
      <w:bookmarkEnd w:id="5"/>
    </w:p>
    <w:p w14:paraId="2744758E" w14:textId="1C8D92E3" w:rsidR="000C5B13" w:rsidRDefault="000C5B13" w:rsidP="000C5B13">
      <w:pPr>
        <w:pStyle w:val="Caption"/>
        <w:rPr>
          <w:lang w:eastAsia="ja-JP"/>
        </w:rPr>
      </w:pPr>
      <w:bookmarkStart w:id="6" w:name="_Ref171582685"/>
      <w:bookmarkStart w:id="7" w:name="_Toc172303494"/>
      <w:r>
        <w:t xml:space="preserve">Figure </w:t>
      </w:r>
      <w:r>
        <w:fldChar w:fldCharType="begin"/>
      </w:r>
      <w:r>
        <w:instrText xml:space="preserve"> SEQ Figure \* ARABIC </w:instrText>
      </w:r>
      <w:r>
        <w:fldChar w:fldCharType="separate"/>
      </w:r>
      <w:r w:rsidR="006072E5">
        <w:rPr>
          <w:noProof/>
        </w:rPr>
        <w:t>1</w:t>
      </w:r>
      <w:r>
        <w:fldChar w:fldCharType="end"/>
      </w:r>
      <w:bookmarkEnd w:id="6"/>
      <w:r>
        <w:t xml:space="preserve"> </w:t>
      </w:r>
      <w:r>
        <w:rPr>
          <w:lang w:eastAsia="ja-JP"/>
        </w:rPr>
        <w:t>National Biosecurity Strategy implementation governance structure</w:t>
      </w:r>
      <w:bookmarkEnd w:id="7"/>
    </w:p>
    <w:p w14:paraId="085E8F3F" w14:textId="18CCB068" w:rsidR="000C5B13" w:rsidRDefault="005459F6" w:rsidP="000C5B13">
      <w:pPr>
        <w:rPr>
          <w:lang w:eastAsia="ja-JP"/>
        </w:rPr>
      </w:pPr>
      <w:r>
        <w:rPr>
          <w:noProof/>
          <w:lang w:eastAsia="ja-JP"/>
        </w:rPr>
        <w:drawing>
          <wp:inline distT="0" distB="0" distL="0" distR="0" wp14:anchorId="7F98508E" wp14:editId="1DDF1A8C">
            <wp:extent cx="5399723" cy="3382992"/>
            <wp:effectExtent l="0" t="0" r="0" b="8255"/>
            <wp:docPr id="292465174" name="Picture 2" descr="Information in the figure is covered in the preceding and following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65174" name="Picture 2" descr="Information in the figure is covered in the preceding and following paragraph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399723" cy="3382992"/>
                    </a:xfrm>
                    <a:prstGeom prst="rect">
                      <a:avLst/>
                    </a:prstGeom>
                  </pic:spPr>
                </pic:pic>
              </a:graphicData>
            </a:graphic>
          </wp:inline>
        </w:drawing>
      </w:r>
    </w:p>
    <w:p w14:paraId="40C652F6" w14:textId="77777777" w:rsidR="00815994" w:rsidRDefault="00815994" w:rsidP="00815994">
      <w:pPr>
        <w:rPr>
          <w:lang w:eastAsia="ja-JP"/>
        </w:rPr>
      </w:pPr>
      <w:r>
        <w:rPr>
          <w:lang w:eastAsia="ja-JP"/>
        </w:rPr>
        <w:t>The National Biosecurity Committee will oversee the implementation of the National Biosecurity Strategy (NBS) and advise the Agriculture Senior Officials’ Committee (AGSOC) and Agriculture Ministers’ Meeting (AMM) on biosecurity matters.</w:t>
      </w:r>
    </w:p>
    <w:p w14:paraId="6A457D97" w14:textId="13697F1C" w:rsidR="008E51DC" w:rsidRDefault="00815994" w:rsidP="00815994">
      <w:pPr>
        <w:rPr>
          <w:lang w:eastAsia="ja-JP"/>
        </w:rPr>
      </w:pPr>
      <w:r>
        <w:rPr>
          <w:lang w:eastAsia="ja-JP"/>
        </w:rPr>
        <w:t>AGSOC provides cross-jurisdictional cooperative and coordinated approaches to matters of national interest and supports the AMM. The AMM provides national leadership to support NBS implementation.</w:t>
      </w:r>
    </w:p>
    <w:p w14:paraId="512D384B" w14:textId="06905625" w:rsidR="000C5B13" w:rsidRDefault="000C5B13" w:rsidP="000C5B13">
      <w:pPr>
        <w:rPr>
          <w:lang w:eastAsia="ja-JP"/>
        </w:rPr>
      </w:pPr>
      <w:r>
        <w:rPr>
          <w:lang w:eastAsia="ja-JP"/>
        </w:rPr>
        <w:t xml:space="preserve">The NIC oversees the delivery of the NBS and works collaboratively with the National Biosecurity Committee (NBC). The NIC comprises representatives </w:t>
      </w:r>
      <w:r w:rsidRPr="00323AF6">
        <w:rPr>
          <w:lang w:eastAsia="ja-JP"/>
        </w:rPr>
        <w:t>from a cross</w:t>
      </w:r>
      <w:r w:rsidR="00323AF6" w:rsidRPr="00323AF6">
        <w:rPr>
          <w:lang w:eastAsia="ja-JP"/>
        </w:rPr>
        <w:t>-</w:t>
      </w:r>
      <w:r w:rsidRPr="00323AF6">
        <w:rPr>
          <w:lang w:eastAsia="ja-JP"/>
        </w:rPr>
        <w:t>section</w:t>
      </w:r>
      <w:r>
        <w:rPr>
          <w:lang w:eastAsia="ja-JP"/>
        </w:rPr>
        <w:t xml:space="preserve"> of biosecurity stakeholders</w:t>
      </w:r>
      <w:r w:rsidR="00CC0A9E">
        <w:rPr>
          <w:lang w:eastAsia="ja-JP"/>
        </w:rPr>
        <w:t>,</w:t>
      </w:r>
      <w:r>
        <w:rPr>
          <w:lang w:eastAsia="ja-JP"/>
        </w:rPr>
        <w:t xml:space="preserve"> including Australian, state and territory governments, plant, animal, food and grocery industries, unions, agricultural and environmental peak bodies, First Nations people, research organisations</w:t>
      </w:r>
      <w:r w:rsidR="00323AF6">
        <w:rPr>
          <w:lang w:eastAsia="ja-JP"/>
        </w:rPr>
        <w:t>,</w:t>
      </w:r>
      <w:r>
        <w:rPr>
          <w:lang w:eastAsia="ja-JP"/>
        </w:rPr>
        <w:t xml:space="preserve"> and the logistics and supply chain sector.</w:t>
      </w:r>
    </w:p>
    <w:p w14:paraId="5D2B490E" w14:textId="211198DE" w:rsidR="00113FCE" w:rsidRDefault="00113FCE" w:rsidP="000C5B13">
      <w:pPr>
        <w:rPr>
          <w:lang w:eastAsia="ja-JP"/>
        </w:rPr>
      </w:pPr>
      <w:r>
        <w:rPr>
          <w:lang w:eastAsia="ja-JP"/>
        </w:rPr>
        <w:t>The governance framework supporting the implementation</w:t>
      </w:r>
      <w:r w:rsidR="006B4438">
        <w:rPr>
          <w:lang w:eastAsia="ja-JP"/>
        </w:rPr>
        <w:t xml:space="preserve"> of the NBS is committed to upholding Indigenous Data Sovereignty principles. This commitment is guided by the Framework</w:t>
      </w:r>
      <w:r w:rsidR="006815C9">
        <w:rPr>
          <w:lang w:eastAsia="ja-JP"/>
        </w:rPr>
        <w:t xml:space="preserve"> for the Governance of Indigenous Data, as outlined</w:t>
      </w:r>
      <w:r w:rsidR="00251972">
        <w:rPr>
          <w:lang w:eastAsia="ja-JP"/>
        </w:rPr>
        <w:t xml:space="preserve"> by the National Indigenous Australians Agency (NIAA)</w:t>
      </w:r>
      <w:r w:rsidR="007B6C4A">
        <w:rPr>
          <w:lang w:eastAsia="ja-JP"/>
        </w:rPr>
        <w:t>.</w:t>
      </w:r>
    </w:p>
    <w:p w14:paraId="2EF422CE" w14:textId="5320112D" w:rsidR="005459F6" w:rsidRDefault="005459F6" w:rsidP="005459F6">
      <w:pPr>
        <w:pStyle w:val="Heading3"/>
        <w:numPr>
          <w:ilvl w:val="0"/>
          <w:numId w:val="0"/>
        </w:numPr>
        <w:ind w:left="964" w:hanging="964"/>
        <w:rPr>
          <w:lang w:eastAsia="ja-JP"/>
        </w:rPr>
      </w:pPr>
      <w:bookmarkStart w:id="8" w:name="_Toc174097854"/>
      <w:r>
        <w:rPr>
          <w:lang w:eastAsia="ja-JP"/>
        </w:rPr>
        <w:lastRenderedPageBreak/>
        <w:t>Activity leaders</w:t>
      </w:r>
      <w:bookmarkEnd w:id="8"/>
    </w:p>
    <w:p w14:paraId="16930262" w14:textId="4800E76F" w:rsidR="000C5B13" w:rsidRDefault="001B40CB" w:rsidP="000C5B13">
      <w:pPr>
        <w:rPr>
          <w:lang w:eastAsia="ja-JP"/>
        </w:rPr>
      </w:pPr>
      <w:r>
        <w:rPr>
          <w:lang w:eastAsia="ja-JP"/>
        </w:rPr>
        <w:t xml:space="preserve">In this </w:t>
      </w:r>
      <w:r w:rsidR="00B03395">
        <w:rPr>
          <w:lang w:eastAsia="ja-JP"/>
        </w:rPr>
        <w:t>action plan</w:t>
      </w:r>
      <w:r>
        <w:rPr>
          <w:lang w:eastAsia="ja-JP"/>
        </w:rPr>
        <w:t>, a</w:t>
      </w:r>
      <w:r w:rsidR="005459F6" w:rsidRPr="005459F6">
        <w:rPr>
          <w:lang w:eastAsia="ja-JP"/>
        </w:rPr>
        <w:t>ctivity leaders are responsible for the delivery of the activit</w:t>
      </w:r>
      <w:r>
        <w:rPr>
          <w:lang w:eastAsia="ja-JP"/>
        </w:rPr>
        <w:t>ies</w:t>
      </w:r>
      <w:r w:rsidR="005459F6" w:rsidRPr="005459F6">
        <w:rPr>
          <w:lang w:eastAsia="ja-JP"/>
        </w:rPr>
        <w:t>, including how activities will be funded, designed and implemented. Activity leaders are also responsible for coordinating stakeholder communication and engagement, and status reporting, as required.</w:t>
      </w:r>
    </w:p>
    <w:p w14:paraId="59CBA595" w14:textId="77777777" w:rsidR="005459F6" w:rsidRDefault="005459F6" w:rsidP="005459F6">
      <w:pPr>
        <w:pStyle w:val="Heading3"/>
        <w:numPr>
          <w:ilvl w:val="0"/>
          <w:numId w:val="0"/>
        </w:numPr>
        <w:ind w:left="964" w:hanging="964"/>
        <w:rPr>
          <w:lang w:eastAsia="ja-JP"/>
        </w:rPr>
      </w:pPr>
      <w:bookmarkStart w:id="9" w:name="_Toc174097855"/>
      <w:r>
        <w:rPr>
          <w:lang w:eastAsia="ja-JP"/>
        </w:rPr>
        <w:t>Reporting</w:t>
      </w:r>
      <w:bookmarkEnd w:id="9"/>
    </w:p>
    <w:p w14:paraId="749C2F39" w14:textId="6135295F" w:rsidR="005459F6" w:rsidRDefault="005459F6" w:rsidP="005459F6">
      <w:pPr>
        <w:rPr>
          <w:lang w:eastAsia="ja-JP"/>
        </w:rPr>
      </w:pPr>
      <w:r>
        <w:rPr>
          <w:lang w:eastAsia="ja-JP"/>
        </w:rPr>
        <w:t xml:space="preserve">The NIC is responsible for developing and delivering an annual report on the implementation of the </w:t>
      </w:r>
      <w:r w:rsidR="00B03395">
        <w:rPr>
          <w:lang w:eastAsia="ja-JP"/>
        </w:rPr>
        <w:t>action plan</w:t>
      </w:r>
      <w:r>
        <w:rPr>
          <w:lang w:eastAsia="ja-JP"/>
        </w:rPr>
        <w:t xml:space="preserve"> to the NBC. This annual report will be made publicly available and will inform the development of future </w:t>
      </w:r>
      <w:r w:rsidR="00B03395">
        <w:rPr>
          <w:lang w:eastAsia="ja-JP"/>
        </w:rPr>
        <w:t>action plan</w:t>
      </w:r>
      <w:r>
        <w:rPr>
          <w:lang w:eastAsia="ja-JP"/>
        </w:rPr>
        <w:t>s and strategy reviews.</w:t>
      </w:r>
    </w:p>
    <w:p w14:paraId="4528339A" w14:textId="26CCA5B4" w:rsidR="000C5B13" w:rsidRDefault="005459F6" w:rsidP="005459F6">
      <w:pPr>
        <w:rPr>
          <w:lang w:eastAsia="ja-JP"/>
        </w:rPr>
      </w:pPr>
      <w:r>
        <w:rPr>
          <w:lang w:eastAsia="ja-JP"/>
        </w:rPr>
        <w:t>In addition to the annual report from the NIC to the NBC, activity leaders will be responsible for reporting to the NIC, as requested. In developing their status report, activity leaders are expected to liaise with collaborators and to present a coordinated update of progress, achievements, risks and issues.</w:t>
      </w:r>
    </w:p>
    <w:p w14:paraId="160026EF" w14:textId="644067D8" w:rsidR="005459F6" w:rsidRDefault="001B40CB" w:rsidP="005459F6">
      <w:pPr>
        <w:pStyle w:val="Heading2"/>
        <w:numPr>
          <w:ilvl w:val="0"/>
          <w:numId w:val="0"/>
        </w:numPr>
        <w:ind w:left="720" w:hanging="720"/>
      </w:pPr>
      <w:bookmarkStart w:id="10" w:name="_Toc174097856"/>
      <w:r>
        <w:lastRenderedPageBreak/>
        <w:t>NBS p</w:t>
      </w:r>
      <w:r w:rsidR="005459F6">
        <w:t>riority areas for action</w:t>
      </w:r>
      <w:bookmarkEnd w:id="10"/>
    </w:p>
    <w:p w14:paraId="533B3DC3" w14:textId="77777777" w:rsidR="001B40CB" w:rsidRDefault="001B40CB" w:rsidP="001B40CB">
      <w:bookmarkStart w:id="11" w:name="_Hlk171583460"/>
      <w:r>
        <w:t>To achieve the NBS vision, 6 priority areas for action were identified in the NBS, with 36 initial actions to support the evolution of the national biosecurity system.</w:t>
      </w:r>
    </w:p>
    <w:p w14:paraId="22BD31CA" w14:textId="274AC2EA" w:rsidR="001B40CB" w:rsidRDefault="001B40CB" w:rsidP="001B40CB">
      <w:r>
        <w:t xml:space="preserve">Activities have been developed to form the basis of this </w:t>
      </w:r>
      <w:r w:rsidR="00B03395">
        <w:t>action plan</w:t>
      </w:r>
      <w:r>
        <w:t xml:space="preserve"> that build on the initial 36 actions for each NBS priority area.</w:t>
      </w:r>
    </w:p>
    <w:p w14:paraId="46FAB586" w14:textId="7B381797" w:rsidR="004E0DE8" w:rsidRDefault="00F33D28" w:rsidP="001B40CB">
      <w:r w:rsidRPr="00F33D28">
        <w:t>A key focus within these activities is the commitment to protecting Indigenous Cultural and Intellectual Property (ICIP). This reflects progress on Priority Reform One (Formal Partnerships and Shared Decision Making), Priority Reform Three (Transforming Government Organisations), and Priority Reform Four (Shared Access to Data and Information) under the National Agreement on Closing the Gap. It also aligns with United Nations Declaration on the Rights of Indigenous People (UNDRIP), specifically Article 31 on self-determination in relation to ICIP, and Article 10 on obtaining Free, Prior, and Informed Consent (FPIC) in a culturally safe manner, Additionally, it supports the principles of the World Intellectual Property Organization (WIPO) Treaty on Genetic Resources, Intellectual Property, and Associated Traditional Knowledges. By embedding these principles, we ensure Indigenous rights are respected in all biosecurity activities.</w:t>
      </w:r>
    </w:p>
    <w:p w14:paraId="4F2BE4F4" w14:textId="5DFC1002" w:rsidR="001B40CB" w:rsidRDefault="001B40CB" w:rsidP="001B40CB">
      <w:r>
        <w:t xml:space="preserve">The NBC and the NIC have agreed that activities in the </w:t>
      </w:r>
      <w:r w:rsidR="00B03395">
        <w:t>action plan</w:t>
      </w:r>
      <w:r>
        <w:t xml:space="preserve"> must be achievable and recognise the significant activities already underway across the national biosecurity system.</w:t>
      </w:r>
    </w:p>
    <w:p w14:paraId="46F4B4C2" w14:textId="4DCA4AA4" w:rsidR="001B40CB" w:rsidRPr="001B40CB" w:rsidRDefault="001B40CB" w:rsidP="001B40CB">
      <w:r>
        <w:t xml:space="preserve">Given this is the first </w:t>
      </w:r>
      <w:r w:rsidR="00B03395">
        <w:t>action plan</w:t>
      </w:r>
      <w:r>
        <w:t xml:space="preserve">, the activities are foundational and are a starting point. </w:t>
      </w:r>
      <w:r w:rsidR="00406726">
        <w:t xml:space="preserve">Possible activities for consideration </w:t>
      </w:r>
      <w:r w:rsidR="00F236AC">
        <w:t>under this and</w:t>
      </w:r>
      <w:r w:rsidR="00406726">
        <w:t xml:space="preserve"> future action plans are listed in</w:t>
      </w:r>
      <w:r>
        <w:t xml:space="preserve"> </w:t>
      </w:r>
      <w:hyperlink w:anchor="_Appendix_B:_Activities" w:history="1">
        <w:r w:rsidRPr="00CF1B52">
          <w:rPr>
            <w:rStyle w:val="Hyperlink"/>
          </w:rPr>
          <w:t>Appendix B</w:t>
        </w:r>
      </w:hyperlink>
      <w:r>
        <w:t>.</w:t>
      </w:r>
    </w:p>
    <w:p w14:paraId="0F35CE0C" w14:textId="10076616" w:rsidR="005459F6" w:rsidRDefault="00CF1B52" w:rsidP="00632111">
      <w:pPr>
        <w:pStyle w:val="Heading3"/>
        <w:numPr>
          <w:ilvl w:val="0"/>
          <w:numId w:val="0"/>
        </w:numPr>
        <w:ind w:left="964" w:hanging="964"/>
        <w:rPr>
          <w:lang w:eastAsia="ja-JP"/>
        </w:rPr>
      </w:pPr>
      <w:bookmarkStart w:id="12" w:name="_Toc174097857"/>
      <w:r>
        <w:rPr>
          <w:lang w:eastAsia="ja-JP"/>
        </w:rPr>
        <w:t>NBS p</w:t>
      </w:r>
      <w:r w:rsidR="005459F6" w:rsidRPr="00FF2EB1">
        <w:rPr>
          <w:lang w:eastAsia="ja-JP"/>
        </w:rPr>
        <w:t>riority area</w:t>
      </w:r>
      <w:r>
        <w:rPr>
          <w:lang w:eastAsia="ja-JP"/>
        </w:rPr>
        <w:t xml:space="preserve"> 1</w:t>
      </w:r>
      <w:r w:rsidR="005459F6" w:rsidRPr="00FF2EB1">
        <w:rPr>
          <w:lang w:eastAsia="ja-JP"/>
        </w:rPr>
        <w:t>:</w:t>
      </w:r>
      <w:r w:rsidR="005459F6">
        <w:rPr>
          <w:lang w:eastAsia="ja-JP"/>
        </w:rPr>
        <w:t xml:space="preserve"> Shared biosecurity culture</w:t>
      </w:r>
      <w:bookmarkEnd w:id="12"/>
    </w:p>
    <w:bookmarkEnd w:id="11"/>
    <w:p w14:paraId="1E2E57EF" w14:textId="279658C3" w:rsidR="005459F6" w:rsidRDefault="005459F6" w:rsidP="005459F6">
      <w:pPr>
        <w:pStyle w:val="BoxText"/>
        <w:rPr>
          <w:lang w:eastAsia="ja-JP"/>
        </w:rPr>
      </w:pPr>
      <w:r>
        <w:rPr>
          <w:lang w:eastAsia="ja-JP"/>
        </w:rPr>
        <w:t>We will enhance our culture of biosecurity action so that everyone understands the importance of biosecurity and play</w:t>
      </w:r>
      <w:r w:rsidR="0029698A">
        <w:rPr>
          <w:lang w:eastAsia="ja-JP"/>
        </w:rPr>
        <w:t>s</w:t>
      </w:r>
      <w:r>
        <w:rPr>
          <w:lang w:eastAsia="ja-JP"/>
        </w:rPr>
        <w:t xml:space="preserve"> their part.</w:t>
      </w:r>
    </w:p>
    <w:p w14:paraId="72F040CA" w14:textId="77777777" w:rsidR="005459F6" w:rsidRDefault="005459F6" w:rsidP="005459F6">
      <w:pPr>
        <w:rPr>
          <w:lang w:eastAsia="ja-JP"/>
        </w:rPr>
      </w:pPr>
      <w:r>
        <w:rPr>
          <w:lang w:eastAsia="ja-JP"/>
        </w:rPr>
        <w:t>A shared biosecurity culture aims to ensure everyone understands the importance of biosecurity and plays their part. By delivering against this priority, Australians will gain a better understanding of what biosecurity is and feel empowered to act in support of the system.</w:t>
      </w:r>
    </w:p>
    <w:p w14:paraId="099F5EF1" w14:textId="73D84845" w:rsidR="000C5B13" w:rsidRDefault="005459F6" w:rsidP="005459F6">
      <w:pPr>
        <w:rPr>
          <w:lang w:eastAsia="ja-JP"/>
        </w:rPr>
      </w:pPr>
      <w:r>
        <w:rPr>
          <w:lang w:eastAsia="ja-JP"/>
        </w:rPr>
        <w:t xml:space="preserve">A culture of action will be created where the community cares about, contributes to, and takes responsibility for Australia’s biosecurity. This includes a shared understanding </w:t>
      </w:r>
      <w:r w:rsidR="00214216">
        <w:rPr>
          <w:lang w:eastAsia="ja-JP"/>
        </w:rPr>
        <w:t xml:space="preserve">and appreciation </w:t>
      </w:r>
      <w:r>
        <w:rPr>
          <w:lang w:eastAsia="ja-JP"/>
        </w:rPr>
        <w:t>of the benefits that effective biosecurity brings and of the potential consequences of system failure.</w:t>
      </w:r>
    </w:p>
    <w:p w14:paraId="1BD066F0" w14:textId="1A240658" w:rsidR="005459F6" w:rsidRDefault="005459F6" w:rsidP="005459F6">
      <w:pPr>
        <w:pStyle w:val="Caption"/>
        <w:rPr>
          <w:lang w:eastAsia="ja-JP"/>
        </w:rPr>
      </w:pPr>
      <w:bookmarkStart w:id="13" w:name="_Toc172303486"/>
      <w:bookmarkStart w:id="14" w:name="_Hlk171583469"/>
      <w:r w:rsidRPr="00FF2EB1">
        <w:t xml:space="preserve">Table </w:t>
      </w:r>
      <w:r w:rsidRPr="00FF2EB1">
        <w:fldChar w:fldCharType="begin"/>
      </w:r>
      <w:r w:rsidRPr="00FF2EB1">
        <w:instrText xml:space="preserve"> SEQ Table \* ARABIC </w:instrText>
      </w:r>
      <w:r w:rsidRPr="00FF2EB1">
        <w:fldChar w:fldCharType="separate"/>
      </w:r>
      <w:r w:rsidR="006072E5">
        <w:rPr>
          <w:noProof/>
        </w:rPr>
        <w:t>1</w:t>
      </w:r>
      <w:r w:rsidRPr="00FF2EB1">
        <w:fldChar w:fldCharType="end"/>
      </w:r>
      <w:r w:rsidRPr="00FF2EB1">
        <w:t xml:space="preserve"> Activities for </w:t>
      </w:r>
      <w:r w:rsidR="00CF1B52">
        <w:t xml:space="preserve">NBS </w:t>
      </w:r>
      <w:r w:rsidRPr="00FF2EB1">
        <w:t>priority area 1</w:t>
      </w:r>
      <w:bookmarkEnd w:id="13"/>
    </w:p>
    <w:tbl>
      <w:tblPr>
        <w:tblW w:w="9214" w:type="dxa"/>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127"/>
        <w:gridCol w:w="4252"/>
        <w:gridCol w:w="1985"/>
        <w:gridCol w:w="850"/>
      </w:tblGrid>
      <w:tr w:rsidR="005459F6" w:rsidRPr="00651189" w14:paraId="32C84443" w14:textId="77777777" w:rsidTr="00754342">
        <w:trPr>
          <w:cantSplit/>
          <w:tblHeader/>
        </w:trPr>
        <w:tc>
          <w:tcPr>
            <w:tcW w:w="2127" w:type="dxa"/>
            <w:shd w:val="clear" w:color="auto" w:fill="FFFFFF" w:themeFill="background1"/>
            <w:tcMar>
              <w:left w:w="108" w:type="dxa"/>
              <w:right w:w="108" w:type="dxa"/>
            </w:tcMar>
          </w:tcPr>
          <w:bookmarkEnd w:id="14"/>
          <w:p w14:paraId="664B7E1B" w14:textId="2CDA4EA1" w:rsidR="005459F6" w:rsidRPr="00EB5B94" w:rsidRDefault="005459F6" w:rsidP="00EB5B94">
            <w:pPr>
              <w:pStyle w:val="TableHeading"/>
            </w:pPr>
            <w:r w:rsidRPr="00EB5B94">
              <w:t>I</w:t>
            </w:r>
            <w:bookmarkStart w:id="15" w:name="Title_1"/>
            <w:bookmarkEnd w:id="15"/>
            <w:r w:rsidRPr="00EB5B94">
              <w:t xml:space="preserve">nitial </w:t>
            </w:r>
            <w:r w:rsidR="00BA7A02">
              <w:t>a</w:t>
            </w:r>
            <w:r w:rsidRPr="00EB5B94">
              <w:t>ction</w:t>
            </w:r>
            <w:r w:rsidR="00BA7A02">
              <w:t>s</w:t>
            </w:r>
          </w:p>
        </w:tc>
        <w:tc>
          <w:tcPr>
            <w:tcW w:w="4252" w:type="dxa"/>
            <w:shd w:val="clear" w:color="auto" w:fill="FFFFFF" w:themeFill="background1"/>
            <w:tcMar>
              <w:left w:w="108" w:type="dxa"/>
              <w:right w:w="108" w:type="dxa"/>
            </w:tcMar>
          </w:tcPr>
          <w:p w14:paraId="7931B6E2" w14:textId="78E3DF43" w:rsidR="005459F6" w:rsidRPr="00EB5B94" w:rsidRDefault="005459F6" w:rsidP="00EB5B94">
            <w:pPr>
              <w:pStyle w:val="TableHeading"/>
            </w:pPr>
            <w:r w:rsidRPr="00EB5B94">
              <w:t>A</w:t>
            </w:r>
            <w:r w:rsidR="001C6B68">
              <w:t>ction plan a</w:t>
            </w:r>
            <w:r w:rsidRPr="00EB5B94">
              <w:t>ctivities</w:t>
            </w:r>
          </w:p>
        </w:tc>
        <w:tc>
          <w:tcPr>
            <w:tcW w:w="1985" w:type="dxa"/>
            <w:shd w:val="clear" w:color="auto" w:fill="FFFFFF" w:themeFill="background1"/>
          </w:tcPr>
          <w:p w14:paraId="0341FD95" w14:textId="7AFF436A" w:rsidR="005459F6" w:rsidRPr="00EB5B94" w:rsidRDefault="005459F6" w:rsidP="00EB5B94">
            <w:pPr>
              <w:pStyle w:val="TableHeading"/>
            </w:pPr>
            <w:r w:rsidRPr="00EB5B94">
              <w:t xml:space="preserve">Activity </w:t>
            </w:r>
            <w:r w:rsidR="001C6B68">
              <w:t>l</w:t>
            </w:r>
            <w:r w:rsidRPr="00EB5B94">
              <w:t>ead</w:t>
            </w:r>
            <w:r w:rsidR="00BA7A02">
              <w:t>ers</w:t>
            </w:r>
          </w:p>
        </w:tc>
        <w:tc>
          <w:tcPr>
            <w:tcW w:w="850" w:type="dxa"/>
            <w:shd w:val="clear" w:color="auto" w:fill="FFFFFF" w:themeFill="background1"/>
          </w:tcPr>
          <w:p w14:paraId="15A9EBD0" w14:textId="77777777" w:rsidR="005459F6" w:rsidRPr="00EB5B94" w:rsidRDefault="005459F6" w:rsidP="00EB5B94">
            <w:pPr>
              <w:pStyle w:val="TableHeading"/>
            </w:pPr>
            <w:r w:rsidRPr="00EB5B94">
              <w:t>Due</w:t>
            </w:r>
          </w:p>
        </w:tc>
      </w:tr>
      <w:tr w:rsidR="00CF1B52" w:rsidRPr="00651189" w14:paraId="0F22B3C8" w14:textId="77777777" w:rsidTr="00754342">
        <w:tc>
          <w:tcPr>
            <w:tcW w:w="2127" w:type="dxa"/>
            <w:vMerge w:val="restart"/>
            <w:tcMar>
              <w:left w:w="108" w:type="dxa"/>
              <w:right w:w="108" w:type="dxa"/>
            </w:tcMar>
            <w:vAlign w:val="center"/>
          </w:tcPr>
          <w:p w14:paraId="47EF8393" w14:textId="77777777" w:rsidR="00CF1B52" w:rsidRPr="00651189" w:rsidRDefault="00CF1B52" w:rsidP="00CF1B52">
            <w:pPr>
              <w:pStyle w:val="TableText"/>
              <w:rPr>
                <w:rFonts w:ascii="Calibri" w:eastAsiaTheme="minorEastAsia" w:hAnsi="Calibri" w:cs="Calibri"/>
                <w:color w:val="000000" w:themeColor="text1"/>
              </w:rPr>
            </w:pPr>
            <w:bookmarkStart w:id="16" w:name="OLE_LINK1"/>
            <w:r w:rsidRPr="5F464D4E">
              <w:rPr>
                <w:rFonts w:ascii="Calibri" w:hAnsi="Calibri" w:cs="Calibri"/>
              </w:rPr>
              <w:t xml:space="preserve">IA1.1 </w:t>
            </w:r>
            <w:r w:rsidRPr="5F464D4E">
              <w:rPr>
                <w:rFonts w:ascii="Calibri" w:eastAsiaTheme="minorEastAsia" w:hAnsi="Calibri" w:cs="Calibri"/>
                <w:color w:val="000000" w:themeColor="text1"/>
              </w:rPr>
              <w:t>Build on and develop national awareness and education programs.</w:t>
            </w:r>
            <w:bookmarkEnd w:id="16"/>
          </w:p>
        </w:tc>
        <w:tc>
          <w:tcPr>
            <w:tcW w:w="4252" w:type="dxa"/>
            <w:tcMar>
              <w:left w:w="108" w:type="dxa"/>
              <w:right w:w="108" w:type="dxa"/>
            </w:tcMar>
          </w:tcPr>
          <w:p w14:paraId="4A9771F2" w14:textId="062EE30E" w:rsidR="00CF1B52" w:rsidRPr="00651189" w:rsidRDefault="00CF1B52" w:rsidP="00CF1B52">
            <w:pPr>
              <w:pStyle w:val="TableText"/>
              <w:rPr>
                <w:rFonts w:ascii="Calibri" w:eastAsia="Aptos Display" w:hAnsi="Calibri" w:cs="Calibri"/>
                <w:color w:val="000000" w:themeColor="text1"/>
                <w:szCs w:val="18"/>
              </w:rPr>
            </w:pPr>
            <w:r w:rsidRPr="00DF10AA">
              <w:t>Promote the annual Australian Biosecurity Awards leveraging off stronger partnerships to drive positive biosecurity engagement and spotlight productive initiatives.</w:t>
            </w:r>
          </w:p>
        </w:tc>
        <w:tc>
          <w:tcPr>
            <w:tcW w:w="1985" w:type="dxa"/>
          </w:tcPr>
          <w:p w14:paraId="2EFB3F0F" w14:textId="784E502E" w:rsidR="00CF1B52" w:rsidRPr="00651189" w:rsidRDefault="00CF1B52" w:rsidP="00CF1B52">
            <w:pPr>
              <w:pStyle w:val="TableText"/>
              <w:rPr>
                <w:rFonts w:ascii="Calibri" w:eastAsiaTheme="minorEastAsia" w:hAnsi="Calibri" w:cs="Calibri"/>
                <w:color w:val="000000" w:themeColor="text1"/>
                <w:szCs w:val="18"/>
              </w:rPr>
            </w:pPr>
            <w:r w:rsidRPr="00DF10AA">
              <w:t>Commonwealth</w:t>
            </w:r>
          </w:p>
        </w:tc>
        <w:tc>
          <w:tcPr>
            <w:tcW w:w="850" w:type="dxa"/>
          </w:tcPr>
          <w:p w14:paraId="77AEFCBC" w14:textId="54964985" w:rsidR="00CF1B52" w:rsidRPr="00651189" w:rsidRDefault="00CF1B52" w:rsidP="00CF1B52">
            <w:pPr>
              <w:pStyle w:val="TableText"/>
              <w:rPr>
                <w:rFonts w:ascii="Calibri" w:eastAsiaTheme="minorEastAsia" w:hAnsi="Calibri" w:cs="Calibri"/>
                <w:color w:val="000000" w:themeColor="text1"/>
              </w:rPr>
            </w:pPr>
            <w:r w:rsidRPr="00DF10AA">
              <w:t>Dec</w:t>
            </w:r>
            <w:r>
              <w:t xml:space="preserve"> 20</w:t>
            </w:r>
            <w:r w:rsidRPr="00DF10AA">
              <w:t>24</w:t>
            </w:r>
          </w:p>
        </w:tc>
      </w:tr>
      <w:tr w:rsidR="00CF1B52" w14:paraId="75D44C65" w14:textId="77777777" w:rsidTr="00754342">
        <w:tc>
          <w:tcPr>
            <w:tcW w:w="2127" w:type="dxa"/>
            <w:vMerge/>
            <w:tcMar>
              <w:left w:w="108" w:type="dxa"/>
              <w:right w:w="108" w:type="dxa"/>
            </w:tcMar>
            <w:vAlign w:val="center"/>
          </w:tcPr>
          <w:p w14:paraId="4157C052" w14:textId="77777777" w:rsidR="00CF1B52" w:rsidRPr="5F464D4E" w:rsidRDefault="00CF1B52" w:rsidP="00CF1B52">
            <w:pPr>
              <w:pStyle w:val="TableText"/>
              <w:rPr>
                <w:rFonts w:ascii="Calibri" w:hAnsi="Calibri" w:cs="Calibri"/>
              </w:rPr>
            </w:pPr>
          </w:p>
        </w:tc>
        <w:tc>
          <w:tcPr>
            <w:tcW w:w="4252" w:type="dxa"/>
            <w:tcMar>
              <w:left w:w="108" w:type="dxa"/>
              <w:right w:w="108" w:type="dxa"/>
            </w:tcMar>
          </w:tcPr>
          <w:p w14:paraId="5E79DA43" w14:textId="03BC00EE" w:rsidR="00CF1B52" w:rsidRPr="00651189" w:rsidRDefault="00CF1B52" w:rsidP="00CF1B52">
            <w:pPr>
              <w:pStyle w:val="TableText"/>
              <w:rPr>
                <w:rFonts w:ascii="Calibri" w:eastAsiaTheme="minorEastAsia" w:hAnsi="Calibri" w:cs="Calibri"/>
                <w:color w:val="000000" w:themeColor="text1"/>
                <w:szCs w:val="18"/>
              </w:rPr>
            </w:pPr>
            <w:r w:rsidRPr="00DF10AA">
              <w:t>Use national biosecurity campaigns to support national biosecurity stakeholders to raise awareness of priority biosecurity risks and mitigations.</w:t>
            </w:r>
          </w:p>
        </w:tc>
        <w:tc>
          <w:tcPr>
            <w:tcW w:w="1985" w:type="dxa"/>
          </w:tcPr>
          <w:p w14:paraId="03B71954" w14:textId="63A857CE" w:rsidR="00CF1B52" w:rsidRDefault="00CF1B52" w:rsidP="00CF1B52">
            <w:pPr>
              <w:pStyle w:val="TableText"/>
              <w:rPr>
                <w:rFonts w:ascii="Calibri" w:eastAsiaTheme="minorEastAsia" w:hAnsi="Calibri" w:cs="Calibri"/>
                <w:color w:val="000000" w:themeColor="text1"/>
                <w:szCs w:val="18"/>
              </w:rPr>
            </w:pPr>
            <w:r w:rsidRPr="00DF10AA">
              <w:t>Commonwealth</w:t>
            </w:r>
          </w:p>
        </w:tc>
        <w:tc>
          <w:tcPr>
            <w:tcW w:w="850" w:type="dxa"/>
          </w:tcPr>
          <w:p w14:paraId="22536EF4" w14:textId="58B2DA99" w:rsidR="00CF1B52" w:rsidRDefault="00CF1B52" w:rsidP="00CF1B52">
            <w:pPr>
              <w:pStyle w:val="TableText"/>
              <w:rPr>
                <w:rFonts w:ascii="Calibri" w:eastAsiaTheme="minorEastAsia" w:hAnsi="Calibri" w:cs="Calibri"/>
                <w:color w:val="000000" w:themeColor="text1"/>
                <w:szCs w:val="18"/>
              </w:rPr>
            </w:pPr>
            <w:r w:rsidRPr="00DF10AA">
              <w:t>Mar</w:t>
            </w:r>
            <w:r>
              <w:t xml:space="preserve"> 20</w:t>
            </w:r>
            <w:r w:rsidRPr="00DF10AA">
              <w:t>25</w:t>
            </w:r>
          </w:p>
        </w:tc>
      </w:tr>
      <w:tr w:rsidR="005459F6" w:rsidRPr="00651189" w14:paraId="623E9A3E" w14:textId="77777777" w:rsidTr="00754342">
        <w:tc>
          <w:tcPr>
            <w:tcW w:w="2127" w:type="dxa"/>
            <w:vMerge/>
            <w:tcMar>
              <w:left w:w="108" w:type="dxa"/>
              <w:right w:w="108" w:type="dxa"/>
            </w:tcMar>
          </w:tcPr>
          <w:p w14:paraId="6C83C303" w14:textId="77777777" w:rsidR="005459F6" w:rsidRPr="00651189" w:rsidRDefault="005459F6" w:rsidP="002F3FA6">
            <w:pPr>
              <w:rPr>
                <w:rFonts w:ascii="Calibri" w:hAnsi="Calibri" w:cs="Calibri"/>
                <w:sz w:val="18"/>
                <w:szCs w:val="18"/>
              </w:rPr>
            </w:pPr>
          </w:p>
        </w:tc>
        <w:tc>
          <w:tcPr>
            <w:tcW w:w="4252" w:type="dxa"/>
            <w:tcMar>
              <w:left w:w="108" w:type="dxa"/>
              <w:right w:w="108" w:type="dxa"/>
            </w:tcMar>
          </w:tcPr>
          <w:p w14:paraId="15DD41E7" w14:textId="77777777" w:rsidR="005459F6" w:rsidRPr="00651189" w:rsidRDefault="005459F6" w:rsidP="002F3FA6">
            <w:pPr>
              <w:pStyle w:val="TableText"/>
              <w:rPr>
                <w:rFonts w:ascii="Calibri" w:eastAsia="Aptos Display" w:hAnsi="Calibri" w:cs="Calibri"/>
                <w:color w:val="000000" w:themeColor="text1"/>
                <w:szCs w:val="18"/>
              </w:rPr>
            </w:pPr>
            <w:r w:rsidRPr="00651189">
              <w:rPr>
                <w:rFonts w:ascii="Calibri" w:eastAsiaTheme="minorEastAsia" w:hAnsi="Calibri" w:cs="Calibri"/>
                <w:color w:val="000000" w:themeColor="text1"/>
                <w:szCs w:val="18"/>
              </w:rPr>
              <w:t xml:space="preserve">Promote the annual National Biosecurity Forum and Biosecurity </w:t>
            </w:r>
            <w:r>
              <w:rPr>
                <w:rFonts w:ascii="Calibri" w:eastAsiaTheme="minorEastAsia" w:hAnsi="Calibri" w:cs="Calibri"/>
                <w:color w:val="000000" w:themeColor="text1"/>
                <w:szCs w:val="18"/>
              </w:rPr>
              <w:t>W</w:t>
            </w:r>
            <w:r w:rsidRPr="00651189">
              <w:rPr>
                <w:rFonts w:ascii="Calibri" w:eastAsiaTheme="minorEastAsia" w:hAnsi="Calibri" w:cs="Calibri"/>
                <w:color w:val="000000" w:themeColor="text1"/>
                <w:szCs w:val="18"/>
              </w:rPr>
              <w:t>eek activities as a vehicle for the dissemination of best practice and focussed attention on innovative and coordinated solutions.</w:t>
            </w:r>
          </w:p>
        </w:tc>
        <w:tc>
          <w:tcPr>
            <w:tcW w:w="1985" w:type="dxa"/>
          </w:tcPr>
          <w:p w14:paraId="6435FF7A" w14:textId="77777777" w:rsidR="005459F6" w:rsidRPr="00651189" w:rsidRDefault="005459F6" w:rsidP="002F3FA6">
            <w:pPr>
              <w:pStyle w:val="TableText"/>
              <w:rPr>
                <w:rFonts w:ascii="Calibri" w:eastAsiaTheme="minorEastAsia" w:hAnsi="Calibri" w:cs="Calibri"/>
                <w:color w:val="000000" w:themeColor="text1"/>
                <w:szCs w:val="18"/>
              </w:rPr>
            </w:pPr>
            <w:r>
              <w:rPr>
                <w:rFonts w:ascii="Calibri" w:eastAsiaTheme="minorEastAsia" w:hAnsi="Calibri" w:cs="Calibri"/>
                <w:color w:val="000000" w:themeColor="text1"/>
                <w:szCs w:val="18"/>
              </w:rPr>
              <w:t>Commonwealth</w:t>
            </w:r>
          </w:p>
        </w:tc>
        <w:tc>
          <w:tcPr>
            <w:tcW w:w="850" w:type="dxa"/>
          </w:tcPr>
          <w:p w14:paraId="0696CCE1" w14:textId="24DAA0FA" w:rsidR="005459F6" w:rsidRPr="00651189" w:rsidRDefault="005459F6" w:rsidP="002F3FA6">
            <w:pPr>
              <w:pStyle w:val="TableText"/>
              <w:rPr>
                <w:rFonts w:ascii="Calibri" w:eastAsiaTheme="minorEastAsia" w:hAnsi="Calibri" w:cs="Calibri"/>
                <w:color w:val="000000" w:themeColor="text1"/>
                <w:szCs w:val="18"/>
              </w:rPr>
            </w:pPr>
            <w:r>
              <w:rPr>
                <w:rFonts w:ascii="Calibri" w:eastAsiaTheme="minorEastAsia" w:hAnsi="Calibri" w:cs="Calibri"/>
                <w:color w:val="000000" w:themeColor="text1"/>
                <w:szCs w:val="18"/>
              </w:rPr>
              <w:t>Dec</w:t>
            </w:r>
            <w:r w:rsidR="00CF1B52">
              <w:rPr>
                <w:rFonts w:ascii="Calibri" w:eastAsiaTheme="minorEastAsia" w:hAnsi="Calibri" w:cs="Calibri"/>
                <w:color w:val="000000" w:themeColor="text1"/>
                <w:szCs w:val="18"/>
              </w:rPr>
              <w:t xml:space="preserve"> 20</w:t>
            </w:r>
            <w:r>
              <w:rPr>
                <w:rFonts w:ascii="Calibri" w:eastAsiaTheme="minorEastAsia" w:hAnsi="Calibri" w:cs="Calibri"/>
                <w:color w:val="000000" w:themeColor="text1"/>
                <w:szCs w:val="18"/>
              </w:rPr>
              <w:t>25</w:t>
            </w:r>
          </w:p>
        </w:tc>
      </w:tr>
      <w:tr w:rsidR="005459F6" w:rsidRPr="00651189" w14:paraId="7063F49F" w14:textId="77777777" w:rsidTr="00754342">
        <w:tc>
          <w:tcPr>
            <w:tcW w:w="2127" w:type="dxa"/>
            <w:tcMar>
              <w:left w:w="108" w:type="dxa"/>
              <w:right w:w="108" w:type="dxa"/>
            </w:tcMar>
            <w:vAlign w:val="center"/>
          </w:tcPr>
          <w:p w14:paraId="16B039CE" w14:textId="77777777" w:rsidR="005459F6" w:rsidRPr="00651189" w:rsidRDefault="005459F6" w:rsidP="002F3FA6">
            <w:pPr>
              <w:pStyle w:val="TableText"/>
              <w:rPr>
                <w:rFonts w:ascii="Calibri" w:eastAsiaTheme="minorEastAsia" w:hAnsi="Calibri" w:cs="Calibri"/>
                <w:color w:val="000000" w:themeColor="text1"/>
              </w:rPr>
            </w:pPr>
            <w:r w:rsidRPr="12C655E7">
              <w:rPr>
                <w:rFonts w:ascii="Calibri" w:hAnsi="Calibri" w:cs="Calibri"/>
              </w:rPr>
              <w:t xml:space="preserve">IA1.2 </w:t>
            </w:r>
            <w:r w:rsidRPr="12C655E7">
              <w:rPr>
                <w:rFonts w:ascii="Calibri" w:eastAsiaTheme="minorEastAsia" w:hAnsi="Calibri" w:cs="Calibri"/>
                <w:color w:val="000000" w:themeColor="text1"/>
              </w:rPr>
              <w:t>Drive positive biosecurity behaviours and incentivise compliance.</w:t>
            </w:r>
          </w:p>
        </w:tc>
        <w:tc>
          <w:tcPr>
            <w:tcW w:w="4252" w:type="dxa"/>
            <w:tcMar>
              <w:left w:w="108" w:type="dxa"/>
              <w:right w:w="108" w:type="dxa"/>
            </w:tcMar>
          </w:tcPr>
          <w:p w14:paraId="01A6624A" w14:textId="77777777" w:rsidR="005459F6" w:rsidRPr="00651189" w:rsidRDefault="005459F6" w:rsidP="002F3FA6">
            <w:pPr>
              <w:pStyle w:val="TableText"/>
              <w:rPr>
                <w:rFonts w:ascii="Calibri" w:eastAsiaTheme="minorEastAsia" w:hAnsi="Calibri" w:cs="Calibri"/>
                <w:color w:val="000000" w:themeColor="text1"/>
                <w:szCs w:val="18"/>
              </w:rPr>
            </w:pPr>
            <w:r w:rsidRPr="00651189">
              <w:rPr>
                <w:rFonts w:ascii="Calibri" w:eastAsiaTheme="minorEastAsia" w:hAnsi="Calibri" w:cs="Calibri"/>
                <w:color w:val="000000" w:themeColor="text1"/>
                <w:szCs w:val="18"/>
              </w:rPr>
              <w:t>Promote and expand the Highly Compliant Importer Scheme.</w:t>
            </w:r>
          </w:p>
        </w:tc>
        <w:tc>
          <w:tcPr>
            <w:tcW w:w="1985" w:type="dxa"/>
          </w:tcPr>
          <w:p w14:paraId="67156B2D" w14:textId="77777777" w:rsidR="005459F6" w:rsidRPr="00651189" w:rsidRDefault="005459F6" w:rsidP="002F3FA6">
            <w:pPr>
              <w:pStyle w:val="TableText"/>
              <w:rPr>
                <w:rFonts w:ascii="Calibri" w:eastAsiaTheme="minorEastAsia" w:hAnsi="Calibri" w:cs="Calibri"/>
                <w:color w:val="000000" w:themeColor="text1"/>
                <w:szCs w:val="18"/>
              </w:rPr>
            </w:pPr>
            <w:r>
              <w:rPr>
                <w:rFonts w:ascii="Calibri" w:eastAsiaTheme="minorEastAsia" w:hAnsi="Calibri" w:cs="Calibri"/>
                <w:color w:val="000000" w:themeColor="text1"/>
                <w:szCs w:val="18"/>
              </w:rPr>
              <w:t>Commonwealth</w:t>
            </w:r>
          </w:p>
        </w:tc>
        <w:tc>
          <w:tcPr>
            <w:tcW w:w="850" w:type="dxa"/>
          </w:tcPr>
          <w:p w14:paraId="3BBD8354" w14:textId="19D797C0" w:rsidR="005459F6" w:rsidRPr="00651189" w:rsidRDefault="005459F6" w:rsidP="002F3FA6">
            <w:pPr>
              <w:pStyle w:val="TableText"/>
              <w:rPr>
                <w:rFonts w:ascii="Calibri" w:eastAsiaTheme="minorEastAsia" w:hAnsi="Calibri" w:cs="Calibri"/>
                <w:color w:val="000000" w:themeColor="text1"/>
                <w:szCs w:val="18"/>
              </w:rPr>
            </w:pPr>
            <w:r>
              <w:rPr>
                <w:rFonts w:ascii="Calibri" w:eastAsiaTheme="minorEastAsia" w:hAnsi="Calibri" w:cs="Calibri"/>
                <w:color w:val="000000" w:themeColor="text1"/>
                <w:szCs w:val="18"/>
              </w:rPr>
              <w:t>Dec</w:t>
            </w:r>
            <w:r w:rsidR="00CF1B52">
              <w:rPr>
                <w:rFonts w:ascii="Calibri" w:eastAsiaTheme="minorEastAsia" w:hAnsi="Calibri" w:cs="Calibri"/>
                <w:color w:val="000000" w:themeColor="text1"/>
                <w:szCs w:val="18"/>
              </w:rPr>
              <w:t xml:space="preserve"> 20</w:t>
            </w:r>
            <w:r>
              <w:rPr>
                <w:rFonts w:ascii="Calibri" w:eastAsiaTheme="minorEastAsia" w:hAnsi="Calibri" w:cs="Calibri"/>
                <w:color w:val="000000" w:themeColor="text1"/>
                <w:szCs w:val="18"/>
              </w:rPr>
              <w:t>26</w:t>
            </w:r>
          </w:p>
        </w:tc>
      </w:tr>
      <w:tr w:rsidR="005459F6" w:rsidRPr="00651189" w14:paraId="465A4D1B" w14:textId="77777777" w:rsidTr="00754342">
        <w:tc>
          <w:tcPr>
            <w:tcW w:w="2127" w:type="dxa"/>
            <w:tcMar>
              <w:left w:w="108" w:type="dxa"/>
              <w:right w:w="108" w:type="dxa"/>
            </w:tcMar>
            <w:vAlign w:val="center"/>
          </w:tcPr>
          <w:p w14:paraId="45AC6010" w14:textId="77777777" w:rsidR="005459F6" w:rsidRPr="00651189" w:rsidRDefault="005459F6" w:rsidP="002F3FA6">
            <w:pPr>
              <w:pStyle w:val="TableText"/>
              <w:rPr>
                <w:rFonts w:ascii="Calibri" w:eastAsiaTheme="minorEastAsia" w:hAnsi="Calibri" w:cs="Calibri"/>
                <w:color w:val="000000" w:themeColor="text1"/>
              </w:rPr>
            </w:pPr>
            <w:r w:rsidRPr="12C655E7">
              <w:rPr>
                <w:rFonts w:ascii="Calibri" w:hAnsi="Calibri" w:cs="Calibri"/>
              </w:rPr>
              <w:t xml:space="preserve">IA1.3 </w:t>
            </w:r>
            <w:r w:rsidRPr="12C655E7">
              <w:rPr>
                <w:rFonts w:ascii="Calibri" w:eastAsiaTheme="minorEastAsia" w:hAnsi="Calibri" w:cs="Calibri"/>
                <w:color w:val="000000" w:themeColor="text1"/>
              </w:rPr>
              <w:t>Revitalise national communication, engagement and reporting mechanisms.</w:t>
            </w:r>
          </w:p>
        </w:tc>
        <w:tc>
          <w:tcPr>
            <w:tcW w:w="4252" w:type="dxa"/>
            <w:tcMar>
              <w:left w:w="108" w:type="dxa"/>
              <w:right w:w="108" w:type="dxa"/>
            </w:tcMar>
          </w:tcPr>
          <w:p w14:paraId="00EE19A9" w14:textId="77777777" w:rsidR="005459F6" w:rsidRPr="00651189" w:rsidRDefault="005459F6" w:rsidP="002F3FA6">
            <w:pPr>
              <w:pStyle w:val="TableText"/>
              <w:rPr>
                <w:rFonts w:ascii="Calibri" w:eastAsiaTheme="minorEastAsia" w:hAnsi="Calibri" w:cs="Calibri"/>
                <w:color w:val="000000" w:themeColor="text1"/>
                <w:szCs w:val="18"/>
              </w:rPr>
            </w:pPr>
            <w:r w:rsidRPr="00651189">
              <w:rPr>
                <w:rFonts w:ascii="Calibri" w:eastAsiaTheme="minorEastAsia" w:hAnsi="Calibri" w:cs="Calibri"/>
                <w:color w:val="000000" w:themeColor="text1"/>
                <w:szCs w:val="18"/>
              </w:rPr>
              <w:t>Review and augment the National Biosecurity Communication Strategy to enhance national communication and engagement and increase real time communication and engagement with stakeholders.</w:t>
            </w:r>
          </w:p>
        </w:tc>
        <w:tc>
          <w:tcPr>
            <w:tcW w:w="1985" w:type="dxa"/>
          </w:tcPr>
          <w:p w14:paraId="495B25B0" w14:textId="7A75CD7E" w:rsidR="005459F6" w:rsidRPr="00651189" w:rsidRDefault="005459F6" w:rsidP="002F3FA6">
            <w:pPr>
              <w:pStyle w:val="TableText"/>
              <w:rPr>
                <w:rFonts w:ascii="Calibri" w:eastAsiaTheme="minorEastAsia" w:hAnsi="Calibri" w:cs="Calibri"/>
                <w:color w:val="000000" w:themeColor="text1"/>
                <w:szCs w:val="18"/>
              </w:rPr>
            </w:pPr>
            <w:r>
              <w:rPr>
                <w:rFonts w:ascii="Calibri" w:eastAsiaTheme="minorEastAsia" w:hAnsi="Calibri" w:cs="Calibri"/>
                <w:color w:val="000000" w:themeColor="text1"/>
                <w:szCs w:val="18"/>
              </w:rPr>
              <w:t>National Biosecurity Communication and Engagement Network (NBCEN)</w:t>
            </w:r>
            <w:r w:rsidR="00CF1B52">
              <w:rPr>
                <w:rFonts w:ascii="Calibri" w:eastAsiaTheme="minorEastAsia" w:hAnsi="Calibri" w:cs="Calibri"/>
                <w:color w:val="000000" w:themeColor="text1"/>
                <w:szCs w:val="18"/>
              </w:rPr>
              <w:t>,</w:t>
            </w:r>
            <w:r>
              <w:rPr>
                <w:rFonts w:ascii="Calibri" w:eastAsiaTheme="minorEastAsia" w:hAnsi="Calibri" w:cs="Calibri"/>
                <w:color w:val="000000" w:themeColor="text1"/>
                <w:szCs w:val="18"/>
              </w:rPr>
              <w:t xml:space="preserve"> and Commonwealth</w:t>
            </w:r>
          </w:p>
        </w:tc>
        <w:tc>
          <w:tcPr>
            <w:tcW w:w="850" w:type="dxa"/>
          </w:tcPr>
          <w:p w14:paraId="48C19ABE" w14:textId="1E17F812" w:rsidR="005459F6" w:rsidRPr="00651189" w:rsidRDefault="005459F6" w:rsidP="002F3FA6">
            <w:pPr>
              <w:pStyle w:val="TableText"/>
              <w:rPr>
                <w:rFonts w:ascii="Calibri" w:eastAsiaTheme="minorEastAsia" w:hAnsi="Calibri" w:cs="Calibri"/>
                <w:color w:val="000000" w:themeColor="text1"/>
                <w:szCs w:val="18"/>
              </w:rPr>
            </w:pPr>
            <w:r>
              <w:rPr>
                <w:rFonts w:ascii="Calibri" w:eastAsiaTheme="minorEastAsia" w:hAnsi="Calibri" w:cs="Calibri"/>
                <w:color w:val="000000" w:themeColor="text1"/>
                <w:szCs w:val="18"/>
              </w:rPr>
              <w:t>Dec</w:t>
            </w:r>
            <w:r w:rsidR="00CF1B52">
              <w:rPr>
                <w:rFonts w:ascii="Calibri" w:eastAsiaTheme="minorEastAsia" w:hAnsi="Calibri" w:cs="Calibri"/>
                <w:color w:val="000000" w:themeColor="text1"/>
                <w:szCs w:val="18"/>
              </w:rPr>
              <w:t xml:space="preserve"> 20</w:t>
            </w:r>
            <w:r>
              <w:rPr>
                <w:rFonts w:ascii="Calibri" w:eastAsiaTheme="minorEastAsia" w:hAnsi="Calibri" w:cs="Calibri"/>
                <w:color w:val="000000" w:themeColor="text1"/>
                <w:szCs w:val="18"/>
              </w:rPr>
              <w:t>25</w:t>
            </w:r>
          </w:p>
        </w:tc>
      </w:tr>
      <w:tr w:rsidR="005459F6" w:rsidRPr="00651189" w14:paraId="50A6C14F" w14:textId="77777777" w:rsidTr="00754342">
        <w:tc>
          <w:tcPr>
            <w:tcW w:w="2127" w:type="dxa"/>
            <w:tcMar>
              <w:left w:w="108" w:type="dxa"/>
              <w:right w:w="108" w:type="dxa"/>
            </w:tcMar>
            <w:vAlign w:val="center"/>
          </w:tcPr>
          <w:p w14:paraId="114CD5BC" w14:textId="77777777" w:rsidR="005459F6" w:rsidRPr="00651189" w:rsidRDefault="005459F6" w:rsidP="00D15DB0">
            <w:pPr>
              <w:pStyle w:val="TableText"/>
              <w:keepNext/>
              <w:rPr>
                <w:rFonts w:ascii="Calibri" w:eastAsiaTheme="minorEastAsia" w:hAnsi="Calibri" w:cs="Calibri"/>
                <w:color w:val="000000" w:themeColor="text1"/>
              </w:rPr>
            </w:pPr>
            <w:r w:rsidRPr="12C655E7">
              <w:rPr>
                <w:rFonts w:ascii="Calibri" w:hAnsi="Calibri" w:cs="Calibri"/>
              </w:rPr>
              <w:t xml:space="preserve">IA1.4 </w:t>
            </w:r>
            <w:r w:rsidRPr="12C655E7">
              <w:rPr>
                <w:rFonts w:ascii="Calibri" w:eastAsiaTheme="minorEastAsia" w:hAnsi="Calibri" w:cs="Calibri"/>
                <w:color w:val="000000" w:themeColor="text1"/>
              </w:rPr>
              <w:t>Determine opportunities to embed biosecurity as a consideration into broader decision-making, risk, and business planning.</w:t>
            </w:r>
          </w:p>
        </w:tc>
        <w:tc>
          <w:tcPr>
            <w:tcW w:w="4252" w:type="dxa"/>
            <w:tcMar>
              <w:left w:w="108" w:type="dxa"/>
              <w:right w:w="108" w:type="dxa"/>
            </w:tcMar>
          </w:tcPr>
          <w:p w14:paraId="4BB0475E" w14:textId="77777777" w:rsidR="005459F6" w:rsidRPr="00651189" w:rsidRDefault="005459F6" w:rsidP="00D15DB0">
            <w:pPr>
              <w:pStyle w:val="TableText"/>
              <w:keepNext/>
              <w:rPr>
                <w:rFonts w:ascii="Calibri" w:eastAsiaTheme="minorEastAsia" w:hAnsi="Calibri" w:cs="Calibri"/>
                <w:color w:val="000000" w:themeColor="text1"/>
                <w:szCs w:val="18"/>
              </w:rPr>
            </w:pPr>
            <w:r w:rsidRPr="00651189">
              <w:rPr>
                <w:rFonts w:ascii="Calibri" w:eastAsiaTheme="minorEastAsia" w:hAnsi="Calibri" w:cs="Calibri"/>
                <w:color w:val="000000" w:themeColor="text1"/>
                <w:szCs w:val="18"/>
              </w:rPr>
              <w:t>Develop and deliver a Biosecurity Business Network program.</w:t>
            </w:r>
          </w:p>
        </w:tc>
        <w:tc>
          <w:tcPr>
            <w:tcW w:w="1985" w:type="dxa"/>
          </w:tcPr>
          <w:p w14:paraId="44AEB239" w14:textId="1D59482B" w:rsidR="005459F6" w:rsidRPr="00651189" w:rsidRDefault="005459F6" w:rsidP="00D15DB0">
            <w:pPr>
              <w:pStyle w:val="TableText"/>
              <w:keepNext/>
              <w:rPr>
                <w:rFonts w:ascii="Calibri" w:eastAsiaTheme="minorEastAsia" w:hAnsi="Calibri" w:cs="Calibri"/>
                <w:color w:val="000000" w:themeColor="text1"/>
                <w:szCs w:val="18"/>
              </w:rPr>
            </w:pPr>
            <w:r>
              <w:rPr>
                <w:rFonts w:ascii="Calibri" w:eastAsiaTheme="minorEastAsia" w:hAnsi="Calibri" w:cs="Calibri"/>
                <w:color w:val="000000" w:themeColor="text1"/>
                <w:szCs w:val="18"/>
              </w:rPr>
              <w:t>Commonwealth and Tasmania</w:t>
            </w:r>
            <w:r w:rsidR="00616DF6">
              <w:rPr>
                <w:rFonts w:ascii="Calibri" w:eastAsiaTheme="minorEastAsia" w:hAnsi="Calibri" w:cs="Calibri"/>
                <w:color w:val="000000" w:themeColor="text1"/>
                <w:szCs w:val="18"/>
              </w:rPr>
              <w:t xml:space="preserve"> </w:t>
            </w:r>
            <w:r w:rsidR="00616DF6" w:rsidRPr="00D36181">
              <w:t>with input from relevant stakeholders</w:t>
            </w:r>
          </w:p>
        </w:tc>
        <w:tc>
          <w:tcPr>
            <w:tcW w:w="850" w:type="dxa"/>
          </w:tcPr>
          <w:p w14:paraId="7CF7FCB6" w14:textId="0B436332" w:rsidR="005459F6" w:rsidRPr="00651189" w:rsidRDefault="005459F6" w:rsidP="00D15DB0">
            <w:pPr>
              <w:pStyle w:val="TableText"/>
              <w:keepNext/>
              <w:rPr>
                <w:rFonts w:ascii="Calibri" w:eastAsiaTheme="minorEastAsia" w:hAnsi="Calibri" w:cs="Calibri"/>
                <w:color w:val="000000" w:themeColor="text1"/>
                <w:szCs w:val="18"/>
              </w:rPr>
            </w:pPr>
            <w:r>
              <w:rPr>
                <w:rFonts w:ascii="Calibri" w:eastAsiaTheme="minorEastAsia" w:hAnsi="Calibri" w:cs="Calibri"/>
                <w:color w:val="000000" w:themeColor="text1"/>
                <w:szCs w:val="18"/>
              </w:rPr>
              <w:t>Mar</w:t>
            </w:r>
            <w:r w:rsidR="00CF1B52">
              <w:rPr>
                <w:rFonts w:ascii="Calibri" w:eastAsiaTheme="minorEastAsia" w:hAnsi="Calibri" w:cs="Calibri"/>
                <w:color w:val="000000" w:themeColor="text1"/>
                <w:szCs w:val="18"/>
              </w:rPr>
              <w:t xml:space="preserve"> 20</w:t>
            </w:r>
            <w:r>
              <w:rPr>
                <w:rFonts w:ascii="Calibri" w:eastAsiaTheme="minorEastAsia" w:hAnsi="Calibri" w:cs="Calibri"/>
                <w:color w:val="000000" w:themeColor="text1"/>
                <w:szCs w:val="18"/>
              </w:rPr>
              <w:t>25</w:t>
            </w:r>
          </w:p>
        </w:tc>
      </w:tr>
    </w:tbl>
    <w:p w14:paraId="10E6D548" w14:textId="59B4B0FE" w:rsidR="000C5B13" w:rsidRDefault="00CF1B52" w:rsidP="00632111">
      <w:pPr>
        <w:pStyle w:val="Heading3"/>
        <w:numPr>
          <w:ilvl w:val="0"/>
          <w:numId w:val="0"/>
        </w:numPr>
        <w:spacing w:before="240"/>
        <w:ind w:left="964" w:hanging="964"/>
        <w:rPr>
          <w:lang w:eastAsia="ja-JP"/>
        </w:rPr>
      </w:pPr>
      <w:bookmarkStart w:id="17" w:name="_Toc174097858"/>
      <w:r>
        <w:rPr>
          <w:lang w:eastAsia="ja-JP"/>
        </w:rPr>
        <w:t>NBS p</w:t>
      </w:r>
      <w:r w:rsidR="00427034" w:rsidRPr="00FF2EB1">
        <w:rPr>
          <w:lang w:eastAsia="ja-JP"/>
        </w:rPr>
        <w:t xml:space="preserve">riority </w:t>
      </w:r>
      <w:r w:rsidR="00427034" w:rsidRPr="00FF2EB1">
        <w:t>area</w:t>
      </w:r>
      <w:r>
        <w:t xml:space="preserve"> 2</w:t>
      </w:r>
      <w:r w:rsidR="00427034" w:rsidRPr="00FF2EB1">
        <w:rPr>
          <w:lang w:eastAsia="ja-JP"/>
        </w:rPr>
        <w:t>: Stronger partnerships</w:t>
      </w:r>
      <w:bookmarkEnd w:id="17"/>
    </w:p>
    <w:p w14:paraId="0907671F" w14:textId="77777777" w:rsidR="00427034" w:rsidRDefault="00427034" w:rsidP="00427034">
      <w:pPr>
        <w:pStyle w:val="BoxText"/>
        <w:rPr>
          <w:lang w:eastAsia="ja-JP"/>
        </w:rPr>
      </w:pPr>
      <w:r>
        <w:rPr>
          <w:lang w:eastAsia="ja-JP"/>
        </w:rPr>
        <w:t>We will strengthen and expand partnerships and networks between all stakeholders at local, regional, national, and international levels.</w:t>
      </w:r>
    </w:p>
    <w:p w14:paraId="7C0BC1B6" w14:textId="7076E7A6" w:rsidR="00427034" w:rsidRDefault="001C6B68" w:rsidP="00427034">
      <w:pPr>
        <w:rPr>
          <w:lang w:eastAsia="ja-JP"/>
        </w:rPr>
      </w:pPr>
      <w:bookmarkStart w:id="18" w:name="_Hlk172293311"/>
      <w:r>
        <w:rPr>
          <w:lang w:eastAsia="ja-JP"/>
        </w:rPr>
        <w:t>The s</w:t>
      </w:r>
      <w:r w:rsidR="00427034">
        <w:rPr>
          <w:lang w:eastAsia="ja-JP"/>
        </w:rPr>
        <w:t>tronger partnerships</w:t>
      </w:r>
      <w:r>
        <w:rPr>
          <w:lang w:eastAsia="ja-JP"/>
        </w:rPr>
        <w:t xml:space="preserve"> priority</w:t>
      </w:r>
      <w:r w:rsidR="00427034">
        <w:rPr>
          <w:lang w:eastAsia="ja-JP"/>
        </w:rPr>
        <w:t xml:space="preserve"> aim</w:t>
      </w:r>
      <w:r>
        <w:rPr>
          <w:lang w:eastAsia="ja-JP"/>
        </w:rPr>
        <w:t>s</w:t>
      </w:r>
      <w:r w:rsidR="00427034">
        <w:rPr>
          <w:lang w:eastAsia="ja-JP"/>
        </w:rPr>
        <w:t xml:space="preserve"> to st</w:t>
      </w:r>
      <w:bookmarkEnd w:id="18"/>
      <w:r w:rsidR="00427034">
        <w:rPr>
          <w:lang w:eastAsia="ja-JP"/>
        </w:rPr>
        <w:t>rengthen and expand partnerships and networks between all stakeholders at local, regional, national, and international levels. This will leverage different perspectives, expertise, resources, and knowledge for greater impact to support better biosecurity outcomes.</w:t>
      </w:r>
    </w:p>
    <w:p w14:paraId="0C718ABD" w14:textId="7068358B" w:rsidR="000C5B13" w:rsidRDefault="00427034" w:rsidP="00427034">
      <w:pPr>
        <w:rPr>
          <w:lang w:eastAsia="ja-JP"/>
        </w:rPr>
      </w:pPr>
      <w:r>
        <w:rPr>
          <w:lang w:eastAsia="ja-JP"/>
        </w:rPr>
        <w:t xml:space="preserve">Mutual trust, formal recognition, transparency, and a clear understanding of the </w:t>
      </w:r>
      <w:r w:rsidR="00910F6B">
        <w:rPr>
          <w:lang w:eastAsia="ja-JP"/>
        </w:rPr>
        <w:t>benefits of effective biosecurity and the</w:t>
      </w:r>
      <w:r w:rsidR="001230CE">
        <w:rPr>
          <w:lang w:eastAsia="ja-JP"/>
        </w:rPr>
        <w:t xml:space="preserve"> </w:t>
      </w:r>
      <w:r>
        <w:rPr>
          <w:lang w:eastAsia="ja-JP"/>
        </w:rPr>
        <w:t xml:space="preserve">importance of everyone’s role </w:t>
      </w:r>
      <w:r w:rsidR="00BF133E">
        <w:rPr>
          <w:lang w:eastAsia="ja-JP"/>
        </w:rPr>
        <w:t>underpinning</w:t>
      </w:r>
      <w:r>
        <w:rPr>
          <w:lang w:eastAsia="ja-JP"/>
        </w:rPr>
        <w:t xml:space="preserve"> these partnerships</w:t>
      </w:r>
      <w:r w:rsidR="00240B9F">
        <w:rPr>
          <w:lang w:eastAsia="ja-JP"/>
        </w:rPr>
        <w:t xml:space="preserve"> will</w:t>
      </w:r>
      <w:r>
        <w:rPr>
          <w:lang w:eastAsia="ja-JP"/>
        </w:rPr>
        <w:t xml:space="preserve"> creat</w:t>
      </w:r>
      <w:r w:rsidR="00240B9F">
        <w:rPr>
          <w:lang w:eastAsia="ja-JP"/>
        </w:rPr>
        <w:t>e</w:t>
      </w:r>
      <w:r>
        <w:rPr>
          <w:lang w:eastAsia="ja-JP"/>
        </w:rPr>
        <w:t xml:space="preserve"> the shared responsibility for achieving strong biosecurity outcomes for Australia.</w:t>
      </w:r>
    </w:p>
    <w:p w14:paraId="21122AC9" w14:textId="201F96F1" w:rsidR="000C5B13" w:rsidRDefault="00427034" w:rsidP="00427034">
      <w:pPr>
        <w:pStyle w:val="Caption"/>
        <w:rPr>
          <w:lang w:eastAsia="ja-JP"/>
        </w:rPr>
      </w:pPr>
      <w:bookmarkStart w:id="19" w:name="_Toc172303487"/>
      <w:r w:rsidRPr="00FF2EB1">
        <w:t xml:space="preserve">Table </w:t>
      </w:r>
      <w:r w:rsidRPr="00FF2EB1">
        <w:fldChar w:fldCharType="begin"/>
      </w:r>
      <w:r w:rsidRPr="00FF2EB1">
        <w:instrText xml:space="preserve"> SEQ Table \* ARABIC </w:instrText>
      </w:r>
      <w:r w:rsidRPr="00FF2EB1">
        <w:fldChar w:fldCharType="separate"/>
      </w:r>
      <w:r w:rsidR="006072E5">
        <w:rPr>
          <w:noProof/>
        </w:rPr>
        <w:t>2</w:t>
      </w:r>
      <w:r w:rsidRPr="00FF2EB1">
        <w:fldChar w:fldCharType="end"/>
      </w:r>
      <w:r w:rsidRPr="00FF2EB1">
        <w:t xml:space="preserve"> </w:t>
      </w:r>
      <w:r w:rsidRPr="00FF2EB1">
        <w:rPr>
          <w:lang w:eastAsia="ja-JP"/>
        </w:rPr>
        <w:t>Activities for</w:t>
      </w:r>
      <w:r w:rsidR="001C6B68">
        <w:rPr>
          <w:lang w:eastAsia="ja-JP"/>
        </w:rPr>
        <w:t xml:space="preserve"> NBS</w:t>
      </w:r>
      <w:r w:rsidRPr="00FF2EB1">
        <w:rPr>
          <w:lang w:eastAsia="ja-JP"/>
        </w:rPr>
        <w:t xml:space="preserve"> priority area 2</w:t>
      </w:r>
      <w:bookmarkEnd w:id="19"/>
    </w:p>
    <w:tbl>
      <w:tblPr>
        <w:tblW w:w="9214" w:type="dxa"/>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127"/>
        <w:gridCol w:w="4252"/>
        <w:gridCol w:w="1985"/>
        <w:gridCol w:w="850"/>
      </w:tblGrid>
      <w:tr w:rsidR="00BA7A02" w:rsidRPr="00651189" w14:paraId="0E87A73B" w14:textId="77777777" w:rsidTr="002F3FA6">
        <w:trPr>
          <w:cantSplit/>
          <w:tblHeader/>
        </w:trPr>
        <w:tc>
          <w:tcPr>
            <w:tcW w:w="2127" w:type="dxa"/>
            <w:tcBorders>
              <w:top w:val="single" w:sz="4" w:space="0" w:color="auto"/>
              <w:bottom w:val="single" w:sz="4" w:space="0" w:color="auto"/>
              <w:right w:val="nil"/>
            </w:tcBorders>
            <w:shd w:val="clear" w:color="auto" w:fill="FFFFFF" w:themeFill="background1"/>
            <w:tcMar>
              <w:left w:w="108" w:type="dxa"/>
              <w:right w:w="108" w:type="dxa"/>
            </w:tcMar>
          </w:tcPr>
          <w:p w14:paraId="7A6835F4" w14:textId="13D4480A" w:rsidR="00BA7A02" w:rsidRPr="000223DB" w:rsidRDefault="00BA7A02" w:rsidP="00BA7A02">
            <w:pPr>
              <w:pStyle w:val="TableHeading"/>
            </w:pPr>
            <w:bookmarkStart w:id="20" w:name="Title_2"/>
            <w:bookmarkEnd w:id="20"/>
            <w:r w:rsidRPr="00EB5B94">
              <w:t xml:space="preserve">Initial </w:t>
            </w:r>
            <w:r>
              <w:t>a</w:t>
            </w:r>
            <w:r w:rsidRPr="00EB5B94">
              <w:t>ction</w:t>
            </w:r>
            <w:r>
              <w:t>s</w:t>
            </w:r>
          </w:p>
        </w:tc>
        <w:tc>
          <w:tcPr>
            <w:tcW w:w="4252" w:type="dxa"/>
            <w:tcBorders>
              <w:top w:val="single" w:sz="4" w:space="0" w:color="auto"/>
              <w:left w:val="nil"/>
              <w:bottom w:val="single" w:sz="4" w:space="0" w:color="auto"/>
              <w:right w:val="nil"/>
            </w:tcBorders>
            <w:shd w:val="clear" w:color="auto" w:fill="FFFFFF" w:themeFill="background1"/>
            <w:tcMar>
              <w:left w:w="108" w:type="dxa"/>
              <w:right w:w="108" w:type="dxa"/>
            </w:tcMar>
          </w:tcPr>
          <w:p w14:paraId="0AEAD4FE" w14:textId="0FDEF8FB" w:rsidR="00BA7A02" w:rsidRPr="000223DB" w:rsidRDefault="00BA7A02" w:rsidP="00BA7A02">
            <w:pPr>
              <w:pStyle w:val="TableHeading"/>
              <w:rPr>
                <w:rFonts w:eastAsiaTheme="minorEastAsia"/>
                <w:color w:val="000000" w:themeColor="text1"/>
                <w:szCs w:val="18"/>
              </w:rPr>
            </w:pPr>
            <w:r w:rsidRPr="00EB5B94">
              <w:t>A</w:t>
            </w:r>
            <w:r>
              <w:t>ction plan a</w:t>
            </w:r>
            <w:r w:rsidRPr="00EB5B94">
              <w:t>ctivities</w:t>
            </w:r>
          </w:p>
        </w:tc>
        <w:tc>
          <w:tcPr>
            <w:tcW w:w="1985" w:type="dxa"/>
            <w:tcBorders>
              <w:top w:val="single" w:sz="4" w:space="0" w:color="auto"/>
              <w:left w:val="nil"/>
              <w:bottom w:val="single" w:sz="4" w:space="0" w:color="auto"/>
              <w:right w:val="nil"/>
            </w:tcBorders>
            <w:shd w:val="clear" w:color="auto" w:fill="FFFFFF" w:themeFill="background1"/>
          </w:tcPr>
          <w:p w14:paraId="6DF9D7C8" w14:textId="125B8BB4" w:rsidR="00BA7A02" w:rsidRPr="000223DB" w:rsidRDefault="00BA7A02" w:rsidP="00BA7A02">
            <w:pPr>
              <w:pStyle w:val="TableHeading"/>
              <w:rPr>
                <w:rFonts w:eastAsiaTheme="minorEastAsia"/>
                <w:color w:val="000000" w:themeColor="text1"/>
                <w:szCs w:val="18"/>
              </w:rPr>
            </w:pPr>
            <w:r w:rsidRPr="00EB5B94">
              <w:t xml:space="preserve">Activity </w:t>
            </w:r>
            <w:r>
              <w:t>l</w:t>
            </w:r>
            <w:r w:rsidRPr="00EB5B94">
              <w:t>ead</w:t>
            </w:r>
            <w:r>
              <w:t>ers</w:t>
            </w:r>
          </w:p>
        </w:tc>
        <w:tc>
          <w:tcPr>
            <w:tcW w:w="850" w:type="dxa"/>
            <w:tcBorders>
              <w:top w:val="single" w:sz="4" w:space="0" w:color="auto"/>
              <w:left w:val="nil"/>
              <w:bottom w:val="single" w:sz="4" w:space="0" w:color="auto"/>
            </w:tcBorders>
            <w:shd w:val="clear" w:color="auto" w:fill="FFFFFF" w:themeFill="background1"/>
          </w:tcPr>
          <w:p w14:paraId="24D806C0" w14:textId="12312338" w:rsidR="00BA7A02" w:rsidRPr="000223DB" w:rsidRDefault="00BA7A02" w:rsidP="00BA7A02">
            <w:pPr>
              <w:pStyle w:val="TableHeading"/>
              <w:rPr>
                <w:rFonts w:eastAsiaTheme="minorEastAsia"/>
                <w:color w:val="000000" w:themeColor="text1"/>
                <w:szCs w:val="18"/>
              </w:rPr>
            </w:pPr>
            <w:r w:rsidRPr="00EB5B94">
              <w:t>Due</w:t>
            </w:r>
          </w:p>
        </w:tc>
      </w:tr>
      <w:tr w:rsidR="001C6B68" w:rsidRPr="00651189" w14:paraId="532C5DB3" w14:textId="77777777" w:rsidTr="00427034">
        <w:tc>
          <w:tcPr>
            <w:tcW w:w="2127" w:type="dxa"/>
            <w:vMerge w:val="restart"/>
            <w:tcBorders>
              <w:top w:val="single" w:sz="4" w:space="0" w:color="auto"/>
              <w:right w:val="nil"/>
            </w:tcBorders>
            <w:tcMar>
              <w:left w:w="108" w:type="dxa"/>
              <w:right w:w="108" w:type="dxa"/>
            </w:tcMar>
            <w:vAlign w:val="center"/>
          </w:tcPr>
          <w:p w14:paraId="05272DBF" w14:textId="77777777" w:rsidR="001C6B68" w:rsidRPr="00651189" w:rsidRDefault="001C6B68" w:rsidP="001C6B68">
            <w:pPr>
              <w:pStyle w:val="TableText"/>
              <w:rPr>
                <w:rFonts w:ascii="Calibri" w:hAnsi="Calibri" w:cs="Calibri"/>
              </w:rPr>
            </w:pPr>
            <w:r w:rsidRPr="592E7A71">
              <w:rPr>
                <w:rFonts w:ascii="Calibri" w:hAnsi="Calibri" w:cs="Calibri"/>
              </w:rPr>
              <w:t>IA2.1 Enhance partnerships and engagement with Indigenous Australians.</w:t>
            </w:r>
          </w:p>
        </w:tc>
        <w:tc>
          <w:tcPr>
            <w:tcW w:w="4252" w:type="dxa"/>
            <w:tcBorders>
              <w:top w:val="single" w:sz="4" w:space="0" w:color="auto"/>
              <w:left w:val="nil"/>
              <w:bottom w:val="single" w:sz="4" w:space="0" w:color="auto"/>
            </w:tcBorders>
            <w:tcMar>
              <w:left w:w="108" w:type="dxa"/>
              <w:right w:w="108" w:type="dxa"/>
            </w:tcMar>
          </w:tcPr>
          <w:p w14:paraId="4B12AB6A" w14:textId="7845BD2D" w:rsidR="001C6B68" w:rsidRPr="00651189" w:rsidRDefault="001C6B68" w:rsidP="001C6B68">
            <w:pPr>
              <w:pStyle w:val="TableText"/>
              <w:rPr>
                <w:rFonts w:ascii="Calibri" w:eastAsiaTheme="minorEastAsia" w:hAnsi="Calibri" w:cs="Calibri"/>
                <w:color w:val="000000" w:themeColor="text1"/>
                <w:szCs w:val="18"/>
              </w:rPr>
            </w:pPr>
            <w:r w:rsidRPr="000E5D42">
              <w:t>Continued commitment to the Northern Australian Indigenous Biosecurity Ranger Forum to support biosecurity surveillance and capability building initiatives.</w:t>
            </w:r>
          </w:p>
        </w:tc>
        <w:tc>
          <w:tcPr>
            <w:tcW w:w="1985" w:type="dxa"/>
            <w:tcBorders>
              <w:top w:val="single" w:sz="4" w:space="0" w:color="auto"/>
              <w:bottom w:val="single" w:sz="4" w:space="0" w:color="auto"/>
            </w:tcBorders>
          </w:tcPr>
          <w:p w14:paraId="2646CFBC" w14:textId="0484974B" w:rsidR="001C6B68" w:rsidRPr="00651189" w:rsidRDefault="001C6B68" w:rsidP="001C6B68">
            <w:pPr>
              <w:pStyle w:val="TableText"/>
              <w:rPr>
                <w:rFonts w:ascii="Calibri" w:eastAsiaTheme="minorEastAsia" w:hAnsi="Calibri" w:cs="Calibri"/>
                <w:color w:val="000000" w:themeColor="text1"/>
                <w:szCs w:val="18"/>
              </w:rPr>
            </w:pPr>
            <w:r w:rsidRPr="000E5D42">
              <w:t>Commonwealth</w:t>
            </w:r>
          </w:p>
        </w:tc>
        <w:tc>
          <w:tcPr>
            <w:tcW w:w="850" w:type="dxa"/>
            <w:tcBorders>
              <w:top w:val="single" w:sz="4" w:space="0" w:color="auto"/>
              <w:bottom w:val="single" w:sz="4" w:space="0" w:color="auto"/>
            </w:tcBorders>
          </w:tcPr>
          <w:p w14:paraId="059C2B0E" w14:textId="0A2AF5C6" w:rsidR="001C6B68" w:rsidRPr="00651189" w:rsidRDefault="001C6B68" w:rsidP="001C6B68">
            <w:pPr>
              <w:pStyle w:val="TableText"/>
              <w:rPr>
                <w:rFonts w:ascii="Calibri" w:eastAsiaTheme="minorEastAsia" w:hAnsi="Calibri" w:cs="Calibri"/>
                <w:color w:val="000000" w:themeColor="text1"/>
                <w:szCs w:val="18"/>
              </w:rPr>
            </w:pPr>
            <w:r w:rsidRPr="000E5D42">
              <w:t>Aug</w:t>
            </w:r>
            <w:r>
              <w:t xml:space="preserve"> 20</w:t>
            </w:r>
            <w:r w:rsidRPr="000E5D42">
              <w:t>25</w:t>
            </w:r>
          </w:p>
        </w:tc>
      </w:tr>
      <w:tr w:rsidR="001C6B68" w:rsidRPr="00651189" w14:paraId="5672EFA0" w14:textId="77777777" w:rsidTr="00427034">
        <w:tc>
          <w:tcPr>
            <w:tcW w:w="2127" w:type="dxa"/>
            <w:vMerge/>
            <w:tcMar>
              <w:left w:w="108" w:type="dxa"/>
              <w:right w:w="108" w:type="dxa"/>
            </w:tcMar>
          </w:tcPr>
          <w:p w14:paraId="68137CE8" w14:textId="77777777" w:rsidR="001C6B68" w:rsidRPr="00651189" w:rsidRDefault="001C6B68" w:rsidP="001C6B68">
            <w:pPr>
              <w:pStyle w:val="TableText"/>
              <w:rPr>
                <w:rFonts w:ascii="Calibri" w:hAnsi="Calibri" w:cs="Calibri"/>
                <w:szCs w:val="18"/>
              </w:rPr>
            </w:pPr>
          </w:p>
        </w:tc>
        <w:tc>
          <w:tcPr>
            <w:tcW w:w="4252" w:type="dxa"/>
            <w:tcBorders>
              <w:top w:val="single" w:sz="4" w:space="0" w:color="auto"/>
              <w:left w:val="nil"/>
              <w:bottom w:val="single" w:sz="4" w:space="0" w:color="auto"/>
            </w:tcBorders>
            <w:tcMar>
              <w:left w:w="108" w:type="dxa"/>
              <w:right w:w="108" w:type="dxa"/>
            </w:tcMar>
          </w:tcPr>
          <w:p w14:paraId="4EABCB2A" w14:textId="7C206E48" w:rsidR="001C6B68" w:rsidRPr="00651189" w:rsidRDefault="001C6B68" w:rsidP="001C6B68">
            <w:pPr>
              <w:pStyle w:val="TableText"/>
              <w:rPr>
                <w:rFonts w:ascii="Calibri" w:eastAsiaTheme="minorEastAsia" w:hAnsi="Calibri" w:cs="Calibri"/>
                <w:color w:val="000000" w:themeColor="text1"/>
                <w:szCs w:val="18"/>
              </w:rPr>
            </w:pPr>
            <w:r w:rsidRPr="000E5D42">
              <w:t>Hold an Indigenous Ranger Roundtable for partnering Indigenous ranger groups within the Indigenous Ranger Biosecurity program to provide strategic input and feedback to shape the future direction of the program and improve biosecurity surveillance and build capability.</w:t>
            </w:r>
          </w:p>
        </w:tc>
        <w:tc>
          <w:tcPr>
            <w:tcW w:w="1985" w:type="dxa"/>
            <w:tcBorders>
              <w:top w:val="single" w:sz="4" w:space="0" w:color="auto"/>
              <w:bottom w:val="single" w:sz="4" w:space="0" w:color="auto"/>
            </w:tcBorders>
          </w:tcPr>
          <w:p w14:paraId="2F9DDFE7" w14:textId="5FF3ADF9" w:rsidR="001C6B68" w:rsidRPr="00651189" w:rsidRDefault="001C6B68" w:rsidP="001C6B68">
            <w:pPr>
              <w:pStyle w:val="TableText"/>
              <w:rPr>
                <w:rFonts w:ascii="Calibri" w:eastAsiaTheme="minorEastAsia" w:hAnsi="Calibri" w:cs="Calibri"/>
                <w:color w:val="000000" w:themeColor="text1"/>
                <w:szCs w:val="18"/>
              </w:rPr>
            </w:pPr>
            <w:r w:rsidRPr="000E5D42">
              <w:t>Commonwealth</w:t>
            </w:r>
          </w:p>
        </w:tc>
        <w:tc>
          <w:tcPr>
            <w:tcW w:w="850" w:type="dxa"/>
            <w:tcBorders>
              <w:top w:val="single" w:sz="4" w:space="0" w:color="auto"/>
              <w:bottom w:val="single" w:sz="4" w:space="0" w:color="auto"/>
            </w:tcBorders>
          </w:tcPr>
          <w:p w14:paraId="56A36BFF" w14:textId="1D927BA9" w:rsidR="001C6B68" w:rsidRPr="00651189" w:rsidRDefault="001C6B68" w:rsidP="001C6B68">
            <w:pPr>
              <w:pStyle w:val="TableText"/>
              <w:rPr>
                <w:rFonts w:ascii="Calibri" w:eastAsiaTheme="minorEastAsia" w:hAnsi="Calibri" w:cs="Calibri"/>
                <w:color w:val="000000" w:themeColor="text1"/>
                <w:szCs w:val="18"/>
              </w:rPr>
            </w:pPr>
            <w:r w:rsidRPr="000E5D42">
              <w:t>Aug</w:t>
            </w:r>
            <w:r>
              <w:t xml:space="preserve"> 20</w:t>
            </w:r>
            <w:r w:rsidRPr="000E5D42">
              <w:t>26</w:t>
            </w:r>
          </w:p>
        </w:tc>
      </w:tr>
      <w:tr w:rsidR="001C6B68" w:rsidRPr="00651189" w14:paraId="1D5F8695" w14:textId="77777777" w:rsidTr="00427034">
        <w:tc>
          <w:tcPr>
            <w:tcW w:w="2127" w:type="dxa"/>
            <w:vMerge/>
            <w:tcMar>
              <w:left w:w="108" w:type="dxa"/>
              <w:right w:w="108" w:type="dxa"/>
            </w:tcMar>
          </w:tcPr>
          <w:p w14:paraId="125FACBD" w14:textId="77777777" w:rsidR="001C6B68" w:rsidRPr="00651189" w:rsidRDefault="001C6B68" w:rsidP="001C6B68">
            <w:pPr>
              <w:pStyle w:val="TableText"/>
              <w:rPr>
                <w:rFonts w:ascii="Calibri" w:hAnsi="Calibri" w:cs="Calibri"/>
                <w:szCs w:val="18"/>
              </w:rPr>
            </w:pPr>
          </w:p>
        </w:tc>
        <w:tc>
          <w:tcPr>
            <w:tcW w:w="4252" w:type="dxa"/>
            <w:tcBorders>
              <w:top w:val="single" w:sz="4" w:space="0" w:color="auto"/>
              <w:left w:val="nil"/>
              <w:bottom w:val="single" w:sz="4" w:space="0" w:color="auto"/>
            </w:tcBorders>
            <w:tcMar>
              <w:left w:w="108" w:type="dxa"/>
              <w:right w:w="108" w:type="dxa"/>
            </w:tcMar>
          </w:tcPr>
          <w:p w14:paraId="7B727971" w14:textId="3A3B9714" w:rsidR="001C6B68" w:rsidRPr="00651189" w:rsidRDefault="001C6B68" w:rsidP="001C6B68">
            <w:pPr>
              <w:pStyle w:val="TableText"/>
              <w:rPr>
                <w:rFonts w:ascii="Calibri" w:eastAsiaTheme="minorEastAsia" w:hAnsi="Calibri" w:cs="Calibri"/>
                <w:color w:val="000000" w:themeColor="text1"/>
                <w:szCs w:val="18"/>
              </w:rPr>
            </w:pPr>
            <w:r w:rsidRPr="006D2CAD">
              <w:t>Continued commitment to the Indigenous Ranger Biosecurity Program to support biosecurity surveillance and capability building initiatives.</w:t>
            </w:r>
          </w:p>
        </w:tc>
        <w:tc>
          <w:tcPr>
            <w:tcW w:w="1985" w:type="dxa"/>
            <w:tcBorders>
              <w:top w:val="single" w:sz="4" w:space="0" w:color="auto"/>
              <w:bottom w:val="single" w:sz="4" w:space="0" w:color="auto"/>
            </w:tcBorders>
          </w:tcPr>
          <w:p w14:paraId="71A9D963" w14:textId="27A6E001" w:rsidR="001C6B68" w:rsidRPr="00651189" w:rsidRDefault="001C6B68" w:rsidP="001C6B68">
            <w:pPr>
              <w:pStyle w:val="TableText"/>
              <w:rPr>
                <w:rFonts w:ascii="Calibri" w:eastAsiaTheme="minorEastAsia" w:hAnsi="Calibri" w:cs="Calibri"/>
                <w:color w:val="000000" w:themeColor="text1"/>
                <w:szCs w:val="18"/>
              </w:rPr>
            </w:pPr>
            <w:r w:rsidRPr="006D2CAD">
              <w:t>Commonwealth</w:t>
            </w:r>
          </w:p>
        </w:tc>
        <w:tc>
          <w:tcPr>
            <w:tcW w:w="850" w:type="dxa"/>
            <w:tcBorders>
              <w:top w:val="single" w:sz="4" w:space="0" w:color="auto"/>
              <w:bottom w:val="single" w:sz="4" w:space="0" w:color="auto"/>
            </w:tcBorders>
          </w:tcPr>
          <w:p w14:paraId="1C059631" w14:textId="637D837B" w:rsidR="001C6B68" w:rsidRPr="00651189" w:rsidRDefault="001C6B68" w:rsidP="001C6B68">
            <w:pPr>
              <w:pStyle w:val="TableText"/>
              <w:rPr>
                <w:rFonts w:ascii="Calibri" w:eastAsiaTheme="minorEastAsia" w:hAnsi="Calibri" w:cs="Calibri"/>
                <w:color w:val="000000" w:themeColor="text1"/>
                <w:szCs w:val="18"/>
              </w:rPr>
            </w:pPr>
            <w:r w:rsidRPr="006D2CAD">
              <w:t>Dec</w:t>
            </w:r>
            <w:r>
              <w:t xml:space="preserve"> 20</w:t>
            </w:r>
            <w:r w:rsidRPr="006D2CAD">
              <w:t>26</w:t>
            </w:r>
          </w:p>
        </w:tc>
      </w:tr>
      <w:tr w:rsidR="001C6B68" w:rsidRPr="00651189" w14:paraId="4CC530FE" w14:textId="77777777" w:rsidTr="002F3FA6">
        <w:tc>
          <w:tcPr>
            <w:tcW w:w="2127" w:type="dxa"/>
            <w:tcBorders>
              <w:top w:val="single" w:sz="4" w:space="0" w:color="auto"/>
              <w:bottom w:val="single" w:sz="4" w:space="0" w:color="auto"/>
              <w:right w:val="nil"/>
            </w:tcBorders>
            <w:tcMar>
              <w:left w:w="108" w:type="dxa"/>
              <w:right w:w="108" w:type="dxa"/>
            </w:tcMar>
          </w:tcPr>
          <w:p w14:paraId="74BABF1E" w14:textId="7AD6DA34" w:rsidR="001C6B68" w:rsidRPr="00651189" w:rsidRDefault="001C6B68" w:rsidP="001C6B68">
            <w:pPr>
              <w:pStyle w:val="TableText"/>
              <w:rPr>
                <w:rFonts w:ascii="Calibri" w:hAnsi="Calibri" w:cs="Calibri"/>
              </w:rPr>
            </w:pPr>
            <w:r w:rsidRPr="00D36181">
              <w:lastRenderedPageBreak/>
              <w:t>IA2.2 Collaboratively review and refine roles and responsibilities.</w:t>
            </w:r>
          </w:p>
        </w:tc>
        <w:tc>
          <w:tcPr>
            <w:tcW w:w="4252" w:type="dxa"/>
            <w:tcBorders>
              <w:top w:val="single" w:sz="4" w:space="0" w:color="auto"/>
              <w:left w:val="nil"/>
              <w:bottom w:val="single" w:sz="4" w:space="0" w:color="auto"/>
            </w:tcBorders>
            <w:tcMar>
              <w:left w:w="108" w:type="dxa"/>
              <w:right w:w="108" w:type="dxa"/>
            </w:tcMar>
          </w:tcPr>
          <w:p w14:paraId="3B42DC8F" w14:textId="4C3A5929" w:rsidR="001C6B68" w:rsidRPr="00651189" w:rsidRDefault="001C6B68" w:rsidP="001C6B68">
            <w:pPr>
              <w:pStyle w:val="TableText"/>
              <w:rPr>
                <w:rFonts w:ascii="Calibri" w:eastAsiaTheme="minorEastAsia" w:hAnsi="Calibri" w:cs="Calibri"/>
                <w:color w:val="000000" w:themeColor="text1"/>
              </w:rPr>
            </w:pPr>
            <w:r w:rsidRPr="00D36181">
              <w:t>Review national biosecurity governance arrangements, identifying where roles and responsibilities could be refined to strengthen positive impact, and where real</w:t>
            </w:r>
            <w:r w:rsidR="00EA7E05">
              <w:t>-</w:t>
            </w:r>
            <w:r w:rsidRPr="00D36181">
              <w:t>time consultation can be increased.</w:t>
            </w:r>
          </w:p>
        </w:tc>
        <w:tc>
          <w:tcPr>
            <w:tcW w:w="1985" w:type="dxa"/>
            <w:tcBorders>
              <w:top w:val="single" w:sz="4" w:space="0" w:color="auto"/>
              <w:bottom w:val="single" w:sz="4" w:space="0" w:color="auto"/>
            </w:tcBorders>
          </w:tcPr>
          <w:p w14:paraId="0F141AC4" w14:textId="6B081612" w:rsidR="001C6B68" w:rsidRPr="00651189" w:rsidRDefault="001C6B68" w:rsidP="001C6B68">
            <w:pPr>
              <w:pStyle w:val="TableText"/>
              <w:rPr>
                <w:rFonts w:ascii="Calibri" w:eastAsiaTheme="minorEastAsia" w:hAnsi="Calibri" w:cs="Calibri"/>
                <w:color w:val="000000" w:themeColor="text1"/>
              </w:rPr>
            </w:pPr>
            <w:r w:rsidRPr="00D36181">
              <w:t>Queensland with input from relevant stakeholders</w:t>
            </w:r>
          </w:p>
        </w:tc>
        <w:tc>
          <w:tcPr>
            <w:tcW w:w="850" w:type="dxa"/>
            <w:tcBorders>
              <w:top w:val="single" w:sz="4" w:space="0" w:color="auto"/>
              <w:bottom w:val="single" w:sz="4" w:space="0" w:color="auto"/>
            </w:tcBorders>
          </w:tcPr>
          <w:p w14:paraId="11538941" w14:textId="067C0FDA" w:rsidR="001C6B68" w:rsidRPr="00651189" w:rsidRDefault="001C6B68" w:rsidP="001C6B68">
            <w:pPr>
              <w:pStyle w:val="TableText"/>
              <w:rPr>
                <w:rFonts w:ascii="Calibri" w:eastAsiaTheme="minorEastAsia" w:hAnsi="Calibri" w:cs="Calibri"/>
                <w:color w:val="000000" w:themeColor="text1"/>
              </w:rPr>
            </w:pPr>
            <w:r w:rsidRPr="00D36181">
              <w:t>Jun</w:t>
            </w:r>
            <w:r w:rsidR="00EA7E05">
              <w:t xml:space="preserve"> 20</w:t>
            </w:r>
            <w:r w:rsidRPr="00D36181">
              <w:t>25</w:t>
            </w:r>
          </w:p>
        </w:tc>
      </w:tr>
      <w:tr w:rsidR="001C6B68" w:rsidRPr="00651189" w14:paraId="232026A9" w14:textId="77777777" w:rsidTr="002F3FA6">
        <w:tc>
          <w:tcPr>
            <w:tcW w:w="2127" w:type="dxa"/>
            <w:tcBorders>
              <w:top w:val="single" w:sz="4" w:space="0" w:color="auto"/>
              <w:bottom w:val="single" w:sz="4" w:space="0" w:color="auto"/>
              <w:right w:val="nil"/>
            </w:tcBorders>
            <w:tcMar>
              <w:left w:w="108" w:type="dxa"/>
              <w:right w:w="108" w:type="dxa"/>
            </w:tcMar>
          </w:tcPr>
          <w:p w14:paraId="43F56AD2" w14:textId="5BDCF122" w:rsidR="001C6B68" w:rsidRPr="00651189" w:rsidRDefault="001C6B68" w:rsidP="001C6B68">
            <w:pPr>
              <w:pStyle w:val="TableText"/>
              <w:rPr>
                <w:rFonts w:ascii="Calibri" w:hAnsi="Calibri" w:cs="Calibri"/>
              </w:rPr>
            </w:pPr>
            <w:r w:rsidRPr="00D36181">
              <w:t>IA2.3 Review governance arrangements to ensure they include relevant stakeholders.</w:t>
            </w:r>
          </w:p>
        </w:tc>
        <w:tc>
          <w:tcPr>
            <w:tcW w:w="4252" w:type="dxa"/>
            <w:tcBorders>
              <w:top w:val="single" w:sz="4" w:space="0" w:color="auto"/>
              <w:left w:val="nil"/>
              <w:bottom w:val="single" w:sz="4" w:space="0" w:color="auto"/>
            </w:tcBorders>
            <w:tcMar>
              <w:left w:w="108" w:type="dxa"/>
              <w:right w:w="108" w:type="dxa"/>
            </w:tcMar>
          </w:tcPr>
          <w:p w14:paraId="390FDF5E" w14:textId="2C8E7710" w:rsidR="001C6B68" w:rsidRPr="00651189" w:rsidRDefault="001C6B68" w:rsidP="001C6B68">
            <w:pPr>
              <w:pStyle w:val="TableText"/>
              <w:rPr>
                <w:rFonts w:ascii="Calibri" w:eastAsiaTheme="minorEastAsia" w:hAnsi="Calibri" w:cs="Calibri"/>
                <w:color w:val="000000" w:themeColor="text1"/>
              </w:rPr>
            </w:pPr>
            <w:r w:rsidRPr="00D36181">
              <w:t>Review of national biosecurity governance arrangements, identifying current stakeholder involvement and where this could be expanded to strengthen positive impact.</w:t>
            </w:r>
          </w:p>
        </w:tc>
        <w:tc>
          <w:tcPr>
            <w:tcW w:w="1985" w:type="dxa"/>
            <w:tcBorders>
              <w:top w:val="single" w:sz="4" w:space="0" w:color="auto"/>
              <w:bottom w:val="single" w:sz="4" w:space="0" w:color="auto"/>
            </w:tcBorders>
          </w:tcPr>
          <w:p w14:paraId="30F8F443" w14:textId="2395634D" w:rsidR="001C6B68" w:rsidRPr="00651189" w:rsidRDefault="001C6B68" w:rsidP="001C6B68">
            <w:pPr>
              <w:pStyle w:val="TableText"/>
              <w:rPr>
                <w:rFonts w:ascii="Calibri" w:eastAsiaTheme="minorEastAsia" w:hAnsi="Calibri" w:cs="Calibri"/>
                <w:color w:val="000000" w:themeColor="text1"/>
              </w:rPr>
            </w:pPr>
            <w:r w:rsidRPr="00D36181">
              <w:t>Queensland with input from relevant stakeholders</w:t>
            </w:r>
          </w:p>
        </w:tc>
        <w:tc>
          <w:tcPr>
            <w:tcW w:w="850" w:type="dxa"/>
            <w:tcBorders>
              <w:top w:val="single" w:sz="4" w:space="0" w:color="auto"/>
              <w:bottom w:val="single" w:sz="4" w:space="0" w:color="auto"/>
            </w:tcBorders>
          </w:tcPr>
          <w:p w14:paraId="59BF8362" w14:textId="5512F248" w:rsidR="001C6B68" w:rsidRPr="00651189" w:rsidRDefault="001C6B68" w:rsidP="001C6B68">
            <w:pPr>
              <w:pStyle w:val="TableText"/>
              <w:rPr>
                <w:rFonts w:ascii="Calibri" w:eastAsiaTheme="minorEastAsia" w:hAnsi="Calibri" w:cs="Calibri"/>
                <w:color w:val="000000" w:themeColor="text1"/>
              </w:rPr>
            </w:pPr>
            <w:r w:rsidRPr="00D36181">
              <w:t>Jun</w:t>
            </w:r>
            <w:r w:rsidR="00EA7E05">
              <w:t xml:space="preserve"> 20</w:t>
            </w:r>
            <w:r w:rsidRPr="00D36181">
              <w:t>25</w:t>
            </w:r>
          </w:p>
        </w:tc>
      </w:tr>
      <w:tr w:rsidR="001C6B68" w:rsidRPr="00651189" w14:paraId="30E2AADB" w14:textId="77777777" w:rsidTr="002F3FA6">
        <w:tc>
          <w:tcPr>
            <w:tcW w:w="2127" w:type="dxa"/>
            <w:tcBorders>
              <w:top w:val="single" w:sz="4" w:space="0" w:color="auto"/>
              <w:bottom w:val="single" w:sz="4" w:space="0" w:color="auto"/>
              <w:right w:val="nil"/>
            </w:tcBorders>
            <w:tcMar>
              <w:left w:w="108" w:type="dxa"/>
              <w:right w:w="108" w:type="dxa"/>
            </w:tcMar>
          </w:tcPr>
          <w:p w14:paraId="2377F5FE" w14:textId="238804DF" w:rsidR="001C6B68" w:rsidRPr="00651189" w:rsidRDefault="001C6B68" w:rsidP="001C6B68">
            <w:pPr>
              <w:pStyle w:val="TableText"/>
              <w:rPr>
                <w:rFonts w:ascii="Calibri" w:hAnsi="Calibri" w:cs="Calibri"/>
              </w:rPr>
            </w:pPr>
            <w:r w:rsidRPr="00D36181">
              <w:t>IA2.4 Strengthen the involvement of environmental agencies and environmental and community groups.</w:t>
            </w:r>
          </w:p>
        </w:tc>
        <w:tc>
          <w:tcPr>
            <w:tcW w:w="4252" w:type="dxa"/>
            <w:tcBorders>
              <w:top w:val="single" w:sz="4" w:space="0" w:color="auto"/>
              <w:left w:val="nil"/>
              <w:bottom w:val="single" w:sz="4" w:space="0" w:color="auto"/>
            </w:tcBorders>
            <w:tcMar>
              <w:left w:w="108" w:type="dxa"/>
              <w:right w:w="108" w:type="dxa"/>
            </w:tcMar>
          </w:tcPr>
          <w:p w14:paraId="4C24C785" w14:textId="6C368DF6" w:rsidR="001C6B68" w:rsidRPr="00651189" w:rsidRDefault="001C6B68" w:rsidP="001C6B68">
            <w:pPr>
              <w:pStyle w:val="TableText"/>
              <w:rPr>
                <w:rFonts w:ascii="Calibri" w:eastAsiaTheme="minorEastAsia" w:hAnsi="Calibri" w:cs="Calibri"/>
                <w:color w:val="000000" w:themeColor="text1"/>
              </w:rPr>
            </w:pPr>
            <w:r w:rsidRPr="00D36181">
              <w:t>Establish an annual National Environmental Biosecurity Roundtable to bring together key environmental agencies and community groups around priority themes. This may includ</w:t>
            </w:r>
            <w:r w:rsidR="00EA7E05" w:rsidRPr="00D36181">
              <w:t xml:space="preserve">e consideration </w:t>
            </w:r>
            <w:r w:rsidR="00EA7E05">
              <w:t>of</w:t>
            </w:r>
            <w:r w:rsidR="00EA7E05" w:rsidRPr="00D36181">
              <w:t xml:space="preserve"> a </w:t>
            </w:r>
            <w:bookmarkStart w:id="21" w:name="_Hlk172302663"/>
            <w:r w:rsidR="00EA7E05" w:rsidRPr="00D36181">
              <w:t xml:space="preserve">memorandum of understanding </w:t>
            </w:r>
            <w:bookmarkEnd w:id="21"/>
            <w:r w:rsidRPr="00D36181">
              <w:t>between environmental and biosecurity agencies.</w:t>
            </w:r>
          </w:p>
        </w:tc>
        <w:tc>
          <w:tcPr>
            <w:tcW w:w="1985" w:type="dxa"/>
            <w:tcBorders>
              <w:top w:val="single" w:sz="4" w:space="0" w:color="auto"/>
              <w:bottom w:val="single" w:sz="4" w:space="0" w:color="auto"/>
            </w:tcBorders>
          </w:tcPr>
          <w:p w14:paraId="3A0726A3" w14:textId="0D1F85CC" w:rsidR="001C6B68" w:rsidRPr="00651189" w:rsidRDefault="001C6B68" w:rsidP="001C6B68">
            <w:pPr>
              <w:pStyle w:val="TableText"/>
              <w:rPr>
                <w:rFonts w:ascii="Calibri" w:eastAsiaTheme="minorEastAsia" w:hAnsi="Calibri" w:cs="Calibri"/>
                <w:color w:val="000000" w:themeColor="text1"/>
              </w:rPr>
            </w:pPr>
            <w:r w:rsidRPr="00D36181">
              <w:t>Commonwealth</w:t>
            </w:r>
          </w:p>
        </w:tc>
        <w:tc>
          <w:tcPr>
            <w:tcW w:w="850" w:type="dxa"/>
            <w:tcBorders>
              <w:top w:val="single" w:sz="4" w:space="0" w:color="auto"/>
              <w:bottom w:val="single" w:sz="4" w:space="0" w:color="auto"/>
            </w:tcBorders>
          </w:tcPr>
          <w:p w14:paraId="3F621594" w14:textId="43A7050E" w:rsidR="001C6B68" w:rsidRPr="00651189" w:rsidRDefault="001C6B68" w:rsidP="001C6B68">
            <w:pPr>
              <w:pStyle w:val="TableText"/>
              <w:rPr>
                <w:rFonts w:ascii="Calibri" w:eastAsiaTheme="minorEastAsia" w:hAnsi="Calibri" w:cs="Calibri"/>
                <w:color w:val="000000" w:themeColor="text1"/>
              </w:rPr>
            </w:pPr>
            <w:r w:rsidRPr="00D36181">
              <w:t>Jun</w:t>
            </w:r>
            <w:r w:rsidR="00EA7E05">
              <w:t xml:space="preserve"> 20</w:t>
            </w:r>
            <w:r w:rsidRPr="00D36181">
              <w:t>25</w:t>
            </w:r>
          </w:p>
        </w:tc>
      </w:tr>
      <w:tr w:rsidR="00EA7E05" w:rsidRPr="00651189" w14:paraId="06CC2FFF" w14:textId="77777777" w:rsidTr="002F3FA6">
        <w:tc>
          <w:tcPr>
            <w:tcW w:w="2127" w:type="dxa"/>
            <w:tcBorders>
              <w:top w:val="single" w:sz="4" w:space="0" w:color="auto"/>
              <w:bottom w:val="single" w:sz="4" w:space="0" w:color="auto"/>
              <w:right w:val="nil"/>
            </w:tcBorders>
            <w:tcMar>
              <w:left w:w="108" w:type="dxa"/>
              <w:right w:w="108" w:type="dxa"/>
            </w:tcMar>
          </w:tcPr>
          <w:p w14:paraId="02C1501B" w14:textId="0F3D0933" w:rsidR="00EA7E05" w:rsidRPr="00651189" w:rsidRDefault="00EA7E05" w:rsidP="00EA7E05">
            <w:pPr>
              <w:pStyle w:val="TableText"/>
              <w:rPr>
                <w:rFonts w:ascii="Calibri" w:hAnsi="Calibri" w:cs="Calibri"/>
              </w:rPr>
            </w:pPr>
            <w:r w:rsidRPr="00C41336">
              <w:t>IA2.5 Identify and implement opportunities for greater industry and community involvement in decision-making bodies.</w:t>
            </w:r>
          </w:p>
        </w:tc>
        <w:tc>
          <w:tcPr>
            <w:tcW w:w="4252" w:type="dxa"/>
            <w:tcBorders>
              <w:top w:val="single" w:sz="4" w:space="0" w:color="auto"/>
              <w:left w:val="nil"/>
              <w:bottom w:val="single" w:sz="4" w:space="0" w:color="auto"/>
            </w:tcBorders>
            <w:tcMar>
              <w:left w:w="108" w:type="dxa"/>
              <w:right w:w="108" w:type="dxa"/>
            </w:tcMar>
          </w:tcPr>
          <w:p w14:paraId="4D2AC64B" w14:textId="778761F6" w:rsidR="00EA7E05" w:rsidRPr="00651189" w:rsidRDefault="00EA7E05" w:rsidP="00EA7E05">
            <w:pPr>
              <w:pStyle w:val="TableText"/>
              <w:rPr>
                <w:rFonts w:ascii="Calibri" w:eastAsiaTheme="minorEastAsia" w:hAnsi="Calibri" w:cs="Calibri"/>
                <w:color w:val="000000" w:themeColor="text1"/>
              </w:rPr>
            </w:pPr>
            <w:r w:rsidRPr="00C41336">
              <w:t>Review of national biosecurity decision</w:t>
            </w:r>
            <w:r w:rsidR="00071026">
              <w:t>-</w:t>
            </w:r>
            <w:r w:rsidRPr="00C41336">
              <w:t>making bodies, identifying current industry and community involvement and where this could be expanded to strengthen positive impact.</w:t>
            </w:r>
          </w:p>
        </w:tc>
        <w:tc>
          <w:tcPr>
            <w:tcW w:w="1985" w:type="dxa"/>
            <w:tcBorders>
              <w:top w:val="single" w:sz="4" w:space="0" w:color="auto"/>
              <w:bottom w:val="single" w:sz="4" w:space="0" w:color="auto"/>
            </w:tcBorders>
          </w:tcPr>
          <w:p w14:paraId="7D0604B6" w14:textId="7A869CBA" w:rsidR="00EA7E05" w:rsidRPr="00651189" w:rsidRDefault="00EA7E05" w:rsidP="00EA7E05">
            <w:pPr>
              <w:pStyle w:val="TableText"/>
              <w:rPr>
                <w:rFonts w:ascii="Calibri" w:eastAsiaTheme="minorEastAsia" w:hAnsi="Calibri" w:cs="Calibri"/>
                <w:color w:val="000000" w:themeColor="text1"/>
              </w:rPr>
            </w:pPr>
            <w:r w:rsidRPr="00C41336">
              <w:t>Queensland with input from relevant stakeholders</w:t>
            </w:r>
          </w:p>
        </w:tc>
        <w:tc>
          <w:tcPr>
            <w:tcW w:w="850" w:type="dxa"/>
            <w:tcBorders>
              <w:top w:val="single" w:sz="4" w:space="0" w:color="auto"/>
              <w:bottom w:val="single" w:sz="4" w:space="0" w:color="auto"/>
            </w:tcBorders>
          </w:tcPr>
          <w:p w14:paraId="6AEFA650" w14:textId="26BF5AA8" w:rsidR="00EA7E05" w:rsidRPr="00651189" w:rsidRDefault="00EA7E05" w:rsidP="00EA7E05">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Jun</w:t>
            </w:r>
            <w:r>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427034" w:rsidRPr="00651189" w14:paraId="31354862" w14:textId="77777777" w:rsidTr="00427034">
        <w:tc>
          <w:tcPr>
            <w:tcW w:w="2127" w:type="dxa"/>
            <w:vMerge w:val="restart"/>
            <w:tcBorders>
              <w:top w:val="single" w:sz="4" w:space="0" w:color="auto"/>
              <w:right w:val="nil"/>
            </w:tcBorders>
            <w:tcMar>
              <w:left w:w="108" w:type="dxa"/>
              <w:right w:w="108" w:type="dxa"/>
            </w:tcMar>
            <w:vAlign w:val="center"/>
          </w:tcPr>
          <w:p w14:paraId="6259F086" w14:textId="77777777" w:rsidR="00427034" w:rsidRPr="00651189" w:rsidRDefault="00427034" w:rsidP="002F3FA6">
            <w:pPr>
              <w:pStyle w:val="TableText"/>
              <w:rPr>
                <w:rFonts w:ascii="Calibri" w:hAnsi="Calibri" w:cs="Calibri"/>
              </w:rPr>
            </w:pPr>
            <w:r w:rsidRPr="592E7A71">
              <w:rPr>
                <w:rFonts w:ascii="Calibri" w:hAnsi="Calibri" w:cs="Calibri"/>
              </w:rPr>
              <w:t>IA2.6 Deepen international partnerships and capacity building.</w:t>
            </w:r>
          </w:p>
        </w:tc>
        <w:tc>
          <w:tcPr>
            <w:tcW w:w="4252" w:type="dxa"/>
            <w:tcBorders>
              <w:top w:val="single" w:sz="4" w:space="0" w:color="auto"/>
              <w:left w:val="nil"/>
              <w:bottom w:val="single" w:sz="4" w:space="0" w:color="auto"/>
            </w:tcBorders>
            <w:tcMar>
              <w:left w:w="108" w:type="dxa"/>
              <w:right w:w="108" w:type="dxa"/>
            </w:tcMar>
          </w:tcPr>
          <w:p w14:paraId="2F6D28EF" w14:textId="56A9A426" w:rsidR="00427034" w:rsidRPr="00651189" w:rsidRDefault="00427034" w:rsidP="00550BF9">
            <w:pPr>
              <w:pStyle w:val="TableText"/>
              <w:keepLines/>
              <w:rPr>
                <w:rFonts w:ascii="Calibri" w:eastAsiaTheme="minorEastAsia" w:hAnsi="Calibri" w:cs="Calibri"/>
                <w:color w:val="000000" w:themeColor="text1"/>
              </w:rPr>
            </w:pPr>
            <w:r w:rsidRPr="0590BA0B">
              <w:rPr>
                <w:rFonts w:ascii="Calibri" w:eastAsiaTheme="minorEastAsia" w:hAnsi="Calibri" w:cs="Calibri"/>
                <w:color w:val="000000" w:themeColor="text1"/>
              </w:rPr>
              <w:t>Enhance near neighbour engagement including deploying a secondee to the FAO Sub-Regional Office for the Pacific Islands and delivering para-veterinary workforce training to Pacific Island nations and Timor-Leste.</w:t>
            </w:r>
          </w:p>
        </w:tc>
        <w:tc>
          <w:tcPr>
            <w:tcW w:w="1985" w:type="dxa"/>
            <w:tcBorders>
              <w:top w:val="single" w:sz="4" w:space="0" w:color="auto"/>
              <w:bottom w:val="single" w:sz="4" w:space="0" w:color="auto"/>
            </w:tcBorders>
          </w:tcPr>
          <w:p w14:paraId="09C83404"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w:t>
            </w:r>
          </w:p>
        </w:tc>
        <w:tc>
          <w:tcPr>
            <w:tcW w:w="850" w:type="dxa"/>
            <w:tcBorders>
              <w:top w:val="single" w:sz="4" w:space="0" w:color="auto"/>
              <w:bottom w:val="single" w:sz="4" w:space="0" w:color="auto"/>
            </w:tcBorders>
          </w:tcPr>
          <w:p w14:paraId="6080331A" w14:textId="2EC2F25A"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Jun</w:t>
            </w:r>
            <w:r w:rsidR="001B0AF1">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427034" w:rsidRPr="00651189" w14:paraId="4518F3F8" w14:textId="77777777" w:rsidTr="00427034">
        <w:tc>
          <w:tcPr>
            <w:tcW w:w="2127" w:type="dxa"/>
            <w:vMerge/>
            <w:tcMar>
              <w:left w:w="108" w:type="dxa"/>
              <w:right w:w="108" w:type="dxa"/>
            </w:tcMar>
          </w:tcPr>
          <w:p w14:paraId="6426AC92" w14:textId="77777777" w:rsidR="00427034" w:rsidRPr="00651189" w:rsidRDefault="00427034" w:rsidP="002F3FA6">
            <w:pPr>
              <w:pStyle w:val="TableText"/>
              <w:rPr>
                <w:rFonts w:ascii="Calibri" w:hAnsi="Calibri" w:cs="Calibri"/>
                <w:szCs w:val="18"/>
              </w:rPr>
            </w:pPr>
          </w:p>
        </w:tc>
        <w:tc>
          <w:tcPr>
            <w:tcW w:w="4252" w:type="dxa"/>
            <w:tcBorders>
              <w:top w:val="single" w:sz="4" w:space="0" w:color="auto"/>
              <w:left w:val="nil"/>
              <w:bottom w:val="single" w:sz="4" w:space="0" w:color="auto"/>
            </w:tcBorders>
            <w:tcMar>
              <w:left w:w="108" w:type="dxa"/>
              <w:right w:w="108" w:type="dxa"/>
            </w:tcMar>
          </w:tcPr>
          <w:p w14:paraId="3AB73621"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 xml:space="preserve">Enhance international collaboration through engagement with the </w:t>
            </w:r>
            <w:proofErr w:type="spellStart"/>
            <w:r w:rsidRPr="0590BA0B">
              <w:rPr>
                <w:rFonts w:ascii="Calibri" w:eastAsiaTheme="minorEastAsia" w:hAnsi="Calibri" w:cs="Calibri"/>
                <w:color w:val="000000" w:themeColor="text1"/>
              </w:rPr>
              <w:t>Euphresco</w:t>
            </w:r>
            <w:proofErr w:type="spellEnd"/>
            <w:r w:rsidRPr="0590BA0B">
              <w:rPr>
                <w:rFonts w:ascii="Calibri" w:eastAsiaTheme="minorEastAsia" w:hAnsi="Calibri" w:cs="Calibri"/>
                <w:color w:val="000000" w:themeColor="text1"/>
              </w:rPr>
              <w:t xml:space="preserve"> network to share libraries of reference spectra (fingerprints) and technical approaches for use of MALDI-</w:t>
            </w:r>
            <w:proofErr w:type="spellStart"/>
            <w:r w:rsidRPr="0590BA0B">
              <w:rPr>
                <w:rFonts w:ascii="Calibri" w:eastAsiaTheme="minorEastAsia" w:hAnsi="Calibri" w:cs="Calibri"/>
                <w:color w:val="000000" w:themeColor="text1"/>
              </w:rPr>
              <w:t>ToF</w:t>
            </w:r>
            <w:proofErr w:type="spellEnd"/>
            <w:r w:rsidRPr="0590BA0B">
              <w:rPr>
                <w:rFonts w:ascii="Calibri" w:eastAsiaTheme="minorEastAsia" w:hAnsi="Calibri" w:cs="Calibri"/>
                <w:color w:val="000000" w:themeColor="text1"/>
              </w:rPr>
              <w:t xml:space="preserve"> mass spectrometry to identify fungi, bacteria and, potentially, insects.</w:t>
            </w:r>
          </w:p>
        </w:tc>
        <w:tc>
          <w:tcPr>
            <w:tcW w:w="1985" w:type="dxa"/>
            <w:tcBorders>
              <w:top w:val="single" w:sz="4" w:space="0" w:color="auto"/>
              <w:bottom w:val="single" w:sz="4" w:space="0" w:color="auto"/>
            </w:tcBorders>
          </w:tcPr>
          <w:p w14:paraId="21A468B5"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w:t>
            </w:r>
          </w:p>
        </w:tc>
        <w:tc>
          <w:tcPr>
            <w:tcW w:w="850" w:type="dxa"/>
            <w:tcBorders>
              <w:top w:val="single" w:sz="4" w:space="0" w:color="auto"/>
              <w:bottom w:val="single" w:sz="4" w:space="0" w:color="auto"/>
            </w:tcBorders>
          </w:tcPr>
          <w:p w14:paraId="3B519DA1" w14:textId="5EA91D7B"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Oct</w:t>
            </w:r>
            <w:r w:rsidR="001B0AF1">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26</w:t>
            </w:r>
          </w:p>
        </w:tc>
      </w:tr>
      <w:tr w:rsidR="00427034" w:rsidRPr="00651189" w14:paraId="512A25F3" w14:textId="77777777" w:rsidTr="00427034">
        <w:tc>
          <w:tcPr>
            <w:tcW w:w="2127" w:type="dxa"/>
            <w:vMerge/>
            <w:tcMar>
              <w:left w:w="108" w:type="dxa"/>
              <w:right w:w="108" w:type="dxa"/>
            </w:tcMar>
          </w:tcPr>
          <w:p w14:paraId="695439B2" w14:textId="77777777" w:rsidR="00427034" w:rsidRPr="00651189" w:rsidRDefault="00427034" w:rsidP="002F3FA6">
            <w:pPr>
              <w:pStyle w:val="TableText"/>
              <w:rPr>
                <w:rFonts w:ascii="Calibri" w:hAnsi="Calibri" w:cs="Calibri"/>
                <w:szCs w:val="18"/>
              </w:rPr>
            </w:pPr>
          </w:p>
        </w:tc>
        <w:tc>
          <w:tcPr>
            <w:tcW w:w="4252" w:type="dxa"/>
            <w:tcBorders>
              <w:top w:val="single" w:sz="4" w:space="0" w:color="auto"/>
              <w:left w:val="nil"/>
              <w:bottom w:val="single" w:sz="4" w:space="0" w:color="auto"/>
            </w:tcBorders>
            <w:tcMar>
              <w:left w:w="108" w:type="dxa"/>
              <w:right w:w="108" w:type="dxa"/>
            </w:tcMar>
          </w:tcPr>
          <w:p w14:paraId="5F36623D"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In collaboration with the Pacific Island Countries and Territories, develop a Pacific Strategy for sea containers to minimise the spread of pest risk associated with sea container movements within the Pacific region.</w:t>
            </w:r>
          </w:p>
        </w:tc>
        <w:tc>
          <w:tcPr>
            <w:tcW w:w="1985" w:type="dxa"/>
            <w:tcBorders>
              <w:top w:val="single" w:sz="4" w:space="0" w:color="auto"/>
              <w:bottom w:val="single" w:sz="4" w:space="0" w:color="auto"/>
            </w:tcBorders>
          </w:tcPr>
          <w:p w14:paraId="4463B2AC"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w:t>
            </w:r>
          </w:p>
        </w:tc>
        <w:tc>
          <w:tcPr>
            <w:tcW w:w="850" w:type="dxa"/>
            <w:tcBorders>
              <w:top w:val="single" w:sz="4" w:space="0" w:color="auto"/>
              <w:bottom w:val="single" w:sz="4" w:space="0" w:color="auto"/>
            </w:tcBorders>
          </w:tcPr>
          <w:p w14:paraId="3FCA5BA2" w14:textId="2EDC887C"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Oct</w:t>
            </w:r>
            <w:r w:rsidR="001B0AF1">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26</w:t>
            </w:r>
          </w:p>
        </w:tc>
      </w:tr>
      <w:tr w:rsidR="00427034" w:rsidRPr="00651189" w14:paraId="60C5E04C" w14:textId="77777777" w:rsidTr="00427034">
        <w:tc>
          <w:tcPr>
            <w:tcW w:w="2127" w:type="dxa"/>
            <w:tcBorders>
              <w:top w:val="single" w:sz="4" w:space="0" w:color="auto"/>
              <w:bottom w:val="single" w:sz="4" w:space="0" w:color="auto"/>
              <w:right w:val="nil"/>
            </w:tcBorders>
            <w:tcMar>
              <w:left w:w="108" w:type="dxa"/>
              <w:right w:w="108" w:type="dxa"/>
            </w:tcMar>
            <w:vAlign w:val="center"/>
          </w:tcPr>
          <w:p w14:paraId="58FEBBC9" w14:textId="77777777" w:rsidR="00427034" w:rsidRPr="00651189" w:rsidRDefault="00427034" w:rsidP="002F3FA6">
            <w:pPr>
              <w:pStyle w:val="TableText"/>
              <w:rPr>
                <w:rFonts w:ascii="Calibri" w:hAnsi="Calibri" w:cs="Calibri"/>
              </w:rPr>
            </w:pPr>
            <w:r w:rsidRPr="592E7A71">
              <w:rPr>
                <w:rFonts w:ascii="Calibri" w:hAnsi="Calibri" w:cs="Calibri"/>
              </w:rPr>
              <w:t>IA2.7 Strengthen understanding of antimicrobial and pesticide resistance and zoonotic pathways.</w:t>
            </w:r>
          </w:p>
        </w:tc>
        <w:tc>
          <w:tcPr>
            <w:tcW w:w="4252" w:type="dxa"/>
            <w:tcBorders>
              <w:top w:val="single" w:sz="4" w:space="0" w:color="auto"/>
              <w:left w:val="nil"/>
              <w:bottom w:val="single" w:sz="4" w:space="0" w:color="auto"/>
            </w:tcBorders>
            <w:tcMar>
              <w:left w:w="108" w:type="dxa"/>
              <w:right w:w="108" w:type="dxa"/>
            </w:tcMar>
          </w:tcPr>
          <w:p w14:paraId="3F76E610" w14:textId="1027CAD2"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 xml:space="preserve">Implement measures 1.1, 1.2, 4.1 and 5.3.1 of Australia’s Animal Sector Antimicrobial Resistance Action </w:t>
            </w:r>
            <w:r w:rsidRPr="00DB52DA">
              <w:rPr>
                <w:rFonts w:ascii="Calibri" w:eastAsiaTheme="minorEastAsia" w:hAnsi="Calibri" w:cs="Calibri"/>
                <w:color w:val="000000" w:themeColor="text1"/>
              </w:rPr>
              <w:t>Plan</w:t>
            </w:r>
            <w:r w:rsidR="006B0CDC" w:rsidRPr="00DB52DA">
              <w:rPr>
                <w:rFonts w:ascii="Calibri" w:eastAsiaTheme="minorEastAsia" w:hAnsi="Calibri" w:cs="Calibri"/>
                <w:color w:val="000000" w:themeColor="text1"/>
              </w:rPr>
              <w:t xml:space="preserve"> (AMR Action Plan)</w:t>
            </w:r>
            <w:r w:rsidR="001B0AF1" w:rsidRPr="00DB52DA">
              <w:rPr>
                <w:rFonts w:ascii="Calibri" w:eastAsiaTheme="minorEastAsia" w:hAnsi="Calibri" w:cs="Calibri"/>
                <w:color w:val="000000" w:themeColor="text1"/>
              </w:rPr>
              <w:t xml:space="preserve"> </w:t>
            </w:r>
            <w:r w:rsidRPr="00DB52DA">
              <w:rPr>
                <w:rFonts w:ascii="Calibri" w:eastAsiaTheme="minorEastAsia" w:hAnsi="Calibri" w:cs="Calibri"/>
                <w:color w:val="000000" w:themeColor="text1"/>
              </w:rPr>
              <w:t>2023</w:t>
            </w:r>
            <w:r w:rsidRPr="0590BA0B">
              <w:rPr>
                <w:rFonts w:ascii="Calibri" w:eastAsiaTheme="minorEastAsia" w:hAnsi="Calibri" w:cs="Calibri"/>
                <w:color w:val="000000" w:themeColor="text1"/>
              </w:rPr>
              <w:t xml:space="preserve"> to 2028, as follows:</w:t>
            </w:r>
          </w:p>
          <w:p w14:paraId="4F64B7B2" w14:textId="64AB2634" w:rsidR="00427034" w:rsidRPr="00F9435A" w:rsidRDefault="00427034" w:rsidP="002F3FA6">
            <w:pPr>
              <w:pStyle w:val="TableBullet1"/>
            </w:pPr>
            <w:r w:rsidRPr="00651189">
              <w:t xml:space="preserve">Develop a </w:t>
            </w:r>
            <w:r w:rsidRPr="00F9435A">
              <w:t>business case to support sustainable funding for the AMR Action Plan (1.1).</w:t>
            </w:r>
          </w:p>
          <w:p w14:paraId="65E8173B" w14:textId="77777777" w:rsidR="00427034" w:rsidRPr="00F9435A" w:rsidRDefault="00427034" w:rsidP="002F3FA6">
            <w:pPr>
              <w:pStyle w:val="TableBullet1"/>
            </w:pPr>
            <w:r w:rsidRPr="00F9435A">
              <w:t>Design ongoing risk-based surveillance for AMR in the animal sector (1.2).</w:t>
            </w:r>
          </w:p>
          <w:p w14:paraId="13D01E09" w14:textId="77777777" w:rsidR="00427034" w:rsidRPr="00F9435A" w:rsidRDefault="00427034" w:rsidP="002F3FA6">
            <w:pPr>
              <w:pStyle w:val="TableBullet1"/>
            </w:pPr>
            <w:r w:rsidRPr="00F9435A">
              <w:t>Deliver antimicrobial prescribing guidelines for at least one additional livestock industry sector (4.1).</w:t>
            </w:r>
          </w:p>
          <w:p w14:paraId="321CEC74" w14:textId="77777777" w:rsidR="00427034" w:rsidRPr="00651189" w:rsidRDefault="00427034" w:rsidP="002F3FA6">
            <w:pPr>
              <w:pStyle w:val="TableBullet1"/>
            </w:pPr>
            <w:r w:rsidRPr="00F9435A">
              <w:t>Deliver at least one AMR survey in partnership with livestock industries</w:t>
            </w:r>
            <w:r w:rsidRPr="00651189">
              <w:t xml:space="preserve"> (5.3.1).</w:t>
            </w:r>
          </w:p>
        </w:tc>
        <w:tc>
          <w:tcPr>
            <w:tcW w:w="1985" w:type="dxa"/>
            <w:tcBorders>
              <w:top w:val="single" w:sz="4" w:space="0" w:color="auto"/>
              <w:bottom w:val="single" w:sz="4" w:space="0" w:color="auto"/>
            </w:tcBorders>
          </w:tcPr>
          <w:p w14:paraId="1AA7E5ED"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 with input from relevant stakeholders</w:t>
            </w:r>
          </w:p>
        </w:tc>
        <w:tc>
          <w:tcPr>
            <w:tcW w:w="850" w:type="dxa"/>
            <w:tcBorders>
              <w:top w:val="single" w:sz="4" w:space="0" w:color="auto"/>
              <w:bottom w:val="single" w:sz="4" w:space="0" w:color="auto"/>
            </w:tcBorders>
          </w:tcPr>
          <w:p w14:paraId="362C6906" w14:textId="242E0C4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Dec</w:t>
            </w:r>
            <w:r w:rsidR="001B0AF1">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26</w:t>
            </w:r>
          </w:p>
        </w:tc>
      </w:tr>
      <w:tr w:rsidR="00427034" w:rsidRPr="00651189" w14:paraId="65FC2F87" w14:textId="77777777" w:rsidTr="00427034">
        <w:tc>
          <w:tcPr>
            <w:tcW w:w="2127" w:type="dxa"/>
            <w:vMerge w:val="restart"/>
            <w:tcBorders>
              <w:top w:val="single" w:sz="4" w:space="0" w:color="auto"/>
              <w:right w:val="nil"/>
            </w:tcBorders>
            <w:tcMar>
              <w:left w:w="108" w:type="dxa"/>
              <w:right w:w="108" w:type="dxa"/>
            </w:tcMar>
            <w:vAlign w:val="center"/>
          </w:tcPr>
          <w:p w14:paraId="223AAAA3" w14:textId="77777777" w:rsidR="00427034" w:rsidRPr="00651189" w:rsidRDefault="00427034" w:rsidP="002F3FA6">
            <w:pPr>
              <w:pStyle w:val="TableText"/>
              <w:rPr>
                <w:rFonts w:ascii="Calibri" w:hAnsi="Calibri" w:cs="Calibri"/>
              </w:rPr>
            </w:pPr>
            <w:r w:rsidRPr="592E7A71">
              <w:rPr>
                <w:rFonts w:ascii="Calibri" w:hAnsi="Calibri" w:cs="Calibri"/>
              </w:rPr>
              <w:t>IA2.8 Coordinate our international advocacy efforts to help shape global standards, rules and conditions.</w:t>
            </w:r>
          </w:p>
        </w:tc>
        <w:tc>
          <w:tcPr>
            <w:tcW w:w="4252" w:type="dxa"/>
            <w:tcBorders>
              <w:top w:val="single" w:sz="4" w:space="0" w:color="auto"/>
              <w:left w:val="nil"/>
              <w:bottom w:val="single" w:sz="4" w:space="0" w:color="auto"/>
            </w:tcBorders>
            <w:tcMar>
              <w:left w:w="108" w:type="dxa"/>
              <w:right w:w="108" w:type="dxa"/>
            </w:tcMar>
          </w:tcPr>
          <w:p w14:paraId="3FB0FFB0"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Produce a comprehensive forward work plan to document national efforts in biosecurity international engagement.</w:t>
            </w:r>
          </w:p>
        </w:tc>
        <w:tc>
          <w:tcPr>
            <w:tcW w:w="1985" w:type="dxa"/>
            <w:tcBorders>
              <w:top w:val="single" w:sz="4" w:space="0" w:color="auto"/>
              <w:bottom w:val="single" w:sz="4" w:space="0" w:color="auto"/>
            </w:tcBorders>
          </w:tcPr>
          <w:p w14:paraId="044DDFED"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w:t>
            </w:r>
          </w:p>
        </w:tc>
        <w:tc>
          <w:tcPr>
            <w:tcW w:w="850" w:type="dxa"/>
            <w:tcBorders>
              <w:top w:val="single" w:sz="4" w:space="0" w:color="auto"/>
              <w:bottom w:val="single" w:sz="4" w:space="0" w:color="auto"/>
            </w:tcBorders>
          </w:tcPr>
          <w:p w14:paraId="3A944A89" w14:textId="2B6A2DEA"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Dec</w:t>
            </w:r>
            <w:r w:rsidR="001B0AF1">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427034" w:rsidRPr="00651189" w14:paraId="4E871193" w14:textId="77777777" w:rsidTr="00427034">
        <w:tc>
          <w:tcPr>
            <w:tcW w:w="2127" w:type="dxa"/>
            <w:vMerge/>
            <w:tcMar>
              <w:left w:w="108" w:type="dxa"/>
              <w:right w:w="108" w:type="dxa"/>
            </w:tcMar>
          </w:tcPr>
          <w:p w14:paraId="16B82C02" w14:textId="77777777" w:rsidR="00427034" w:rsidRPr="00651189" w:rsidRDefault="00427034" w:rsidP="002F3FA6">
            <w:pPr>
              <w:pStyle w:val="TableText"/>
              <w:rPr>
                <w:rFonts w:ascii="Calibri" w:hAnsi="Calibri" w:cs="Calibri"/>
                <w:szCs w:val="18"/>
              </w:rPr>
            </w:pPr>
          </w:p>
        </w:tc>
        <w:tc>
          <w:tcPr>
            <w:tcW w:w="4252" w:type="dxa"/>
            <w:tcBorders>
              <w:top w:val="single" w:sz="4" w:space="0" w:color="auto"/>
              <w:left w:val="nil"/>
              <w:bottom w:val="single" w:sz="4" w:space="0" w:color="auto"/>
            </w:tcBorders>
            <w:tcMar>
              <w:left w:w="108" w:type="dxa"/>
              <w:right w:w="108" w:type="dxa"/>
            </w:tcMar>
          </w:tcPr>
          <w:p w14:paraId="327CF3A9" w14:textId="106B507C" w:rsidR="00427034" w:rsidRPr="00651189" w:rsidRDefault="001B0AF1" w:rsidP="002F3FA6">
            <w:pPr>
              <w:pStyle w:val="TableText"/>
              <w:rPr>
                <w:rFonts w:ascii="Calibri" w:eastAsiaTheme="minorEastAsia" w:hAnsi="Calibri" w:cs="Calibri"/>
                <w:color w:val="000000" w:themeColor="text1"/>
              </w:rPr>
            </w:pPr>
            <w:r w:rsidRPr="001B0AF1">
              <w:rPr>
                <w:rFonts w:ascii="Calibri" w:eastAsiaTheme="minorEastAsia" w:hAnsi="Calibri" w:cs="Calibri"/>
                <w:color w:val="000000" w:themeColor="text1"/>
              </w:rPr>
              <w:t xml:space="preserve">Develop a National Biosecurity International Engagement Strategy to coordinate efforts and focus </w:t>
            </w:r>
            <w:r w:rsidRPr="001B0AF1">
              <w:rPr>
                <w:rFonts w:ascii="Calibri" w:eastAsiaTheme="minorEastAsia" w:hAnsi="Calibri" w:cs="Calibri"/>
                <w:color w:val="000000" w:themeColor="text1"/>
              </w:rPr>
              <w:lastRenderedPageBreak/>
              <w:t>on highest priority opportunities. This will include the forward work plan.</w:t>
            </w:r>
          </w:p>
        </w:tc>
        <w:tc>
          <w:tcPr>
            <w:tcW w:w="1985" w:type="dxa"/>
            <w:tcBorders>
              <w:top w:val="single" w:sz="4" w:space="0" w:color="auto"/>
              <w:bottom w:val="single" w:sz="4" w:space="0" w:color="auto"/>
            </w:tcBorders>
          </w:tcPr>
          <w:p w14:paraId="7E9C774D"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lastRenderedPageBreak/>
              <w:t>Commonwealth</w:t>
            </w:r>
          </w:p>
        </w:tc>
        <w:tc>
          <w:tcPr>
            <w:tcW w:w="850" w:type="dxa"/>
            <w:tcBorders>
              <w:top w:val="single" w:sz="4" w:space="0" w:color="auto"/>
              <w:bottom w:val="single" w:sz="4" w:space="0" w:color="auto"/>
            </w:tcBorders>
          </w:tcPr>
          <w:p w14:paraId="5399CE2A" w14:textId="42907A1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Oct</w:t>
            </w:r>
            <w:r w:rsidR="001B0AF1">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26</w:t>
            </w:r>
          </w:p>
        </w:tc>
      </w:tr>
    </w:tbl>
    <w:p w14:paraId="0ADFE0A8" w14:textId="01D87C48" w:rsidR="000C5B13" w:rsidRDefault="001B0AF1" w:rsidP="00071026">
      <w:pPr>
        <w:pStyle w:val="Heading3"/>
        <w:keepNext w:val="0"/>
        <w:pageBreakBefore/>
        <w:numPr>
          <w:ilvl w:val="0"/>
          <w:numId w:val="0"/>
        </w:numPr>
        <w:spacing w:before="120"/>
        <w:ind w:left="964" w:hanging="964"/>
        <w:rPr>
          <w:lang w:eastAsia="ja-JP"/>
        </w:rPr>
      </w:pPr>
      <w:bookmarkStart w:id="22" w:name="_Toc174097859"/>
      <w:r>
        <w:rPr>
          <w:lang w:eastAsia="ja-JP"/>
        </w:rPr>
        <w:lastRenderedPageBreak/>
        <w:t>NBS p</w:t>
      </w:r>
      <w:r w:rsidR="00427034" w:rsidRPr="00FF2EB1">
        <w:rPr>
          <w:lang w:eastAsia="ja-JP"/>
        </w:rPr>
        <w:t xml:space="preserve">riority </w:t>
      </w:r>
      <w:r w:rsidR="00427034" w:rsidRPr="00FF2EB1">
        <w:t>area</w:t>
      </w:r>
      <w:r>
        <w:t xml:space="preserve"> 3</w:t>
      </w:r>
      <w:r w:rsidR="00427034" w:rsidRPr="00FF2EB1">
        <w:rPr>
          <w:lang w:eastAsia="ja-JP"/>
        </w:rPr>
        <w:t>:</w:t>
      </w:r>
      <w:r w:rsidR="00427034" w:rsidRPr="00427034">
        <w:rPr>
          <w:lang w:eastAsia="ja-JP"/>
        </w:rPr>
        <w:t xml:space="preserve"> Highly skilled workforce</w:t>
      </w:r>
      <w:bookmarkEnd w:id="22"/>
    </w:p>
    <w:p w14:paraId="00EDF1D8" w14:textId="77777777" w:rsidR="00427034" w:rsidRDefault="00427034" w:rsidP="00071026">
      <w:pPr>
        <w:pStyle w:val="BoxText"/>
        <w:keepLines/>
        <w:rPr>
          <w:lang w:eastAsia="ja-JP"/>
        </w:rPr>
      </w:pPr>
      <w:r>
        <w:rPr>
          <w:lang w:eastAsia="ja-JP"/>
        </w:rPr>
        <w:t>We will develop and sustain a highly skilled workforce to ensure we have the right capability and capacity, in the right place, at the right time.</w:t>
      </w:r>
    </w:p>
    <w:p w14:paraId="0B4EF5A0" w14:textId="43639D99" w:rsidR="000C5B13" w:rsidRDefault="00427034" w:rsidP="00071026">
      <w:pPr>
        <w:keepLines/>
        <w:rPr>
          <w:lang w:eastAsia="ja-JP"/>
        </w:rPr>
      </w:pPr>
      <w:r>
        <w:rPr>
          <w:lang w:eastAsia="ja-JP"/>
        </w:rPr>
        <w:t>The highly skilled workforce priority will develop and sustain the pipeline of biosecurity skills needed for the future, within government, industry, and the community. The aim is to provide targeted capability and capacity building, education, and training to ensure people can be deployed when and where they are needed, and that they have the right skills.</w:t>
      </w:r>
    </w:p>
    <w:p w14:paraId="06116526" w14:textId="35DC2C0D" w:rsidR="00427034" w:rsidRDefault="00427034" w:rsidP="00427034">
      <w:pPr>
        <w:pStyle w:val="Caption"/>
        <w:rPr>
          <w:lang w:eastAsia="ja-JP"/>
        </w:rPr>
      </w:pPr>
      <w:bookmarkStart w:id="23" w:name="_Toc172303488"/>
      <w:r w:rsidRPr="00FF2EB1">
        <w:t xml:space="preserve">Table </w:t>
      </w:r>
      <w:r w:rsidRPr="00FF2EB1">
        <w:fldChar w:fldCharType="begin"/>
      </w:r>
      <w:r w:rsidRPr="00FF2EB1">
        <w:instrText xml:space="preserve"> SEQ Table \* ARABIC </w:instrText>
      </w:r>
      <w:r w:rsidRPr="00FF2EB1">
        <w:fldChar w:fldCharType="separate"/>
      </w:r>
      <w:r w:rsidR="006072E5">
        <w:rPr>
          <w:noProof/>
        </w:rPr>
        <w:t>3</w:t>
      </w:r>
      <w:r w:rsidRPr="00FF2EB1">
        <w:fldChar w:fldCharType="end"/>
      </w:r>
      <w:r w:rsidRPr="00FF2EB1">
        <w:t xml:space="preserve"> A</w:t>
      </w:r>
      <w:r w:rsidRPr="00FF2EB1">
        <w:rPr>
          <w:lang w:eastAsia="ja-JP"/>
        </w:rPr>
        <w:t>ctivities for</w:t>
      </w:r>
      <w:r w:rsidR="001B0AF1">
        <w:rPr>
          <w:lang w:eastAsia="ja-JP"/>
        </w:rPr>
        <w:t xml:space="preserve"> NBS</w:t>
      </w:r>
      <w:r w:rsidRPr="00FF2EB1">
        <w:rPr>
          <w:lang w:eastAsia="ja-JP"/>
        </w:rPr>
        <w:t xml:space="preserve"> priority area 3</w:t>
      </w:r>
      <w:bookmarkEnd w:id="23"/>
    </w:p>
    <w:tbl>
      <w:tblPr>
        <w:tblW w:w="9214" w:type="dxa"/>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127"/>
        <w:gridCol w:w="4110"/>
        <w:gridCol w:w="2127"/>
        <w:gridCol w:w="850"/>
      </w:tblGrid>
      <w:tr w:rsidR="00BA7A02" w:rsidRPr="00425B2B" w14:paraId="04F5CF04" w14:textId="77777777" w:rsidTr="002F3FA6">
        <w:trPr>
          <w:cantSplit/>
          <w:tblHeader/>
        </w:trPr>
        <w:tc>
          <w:tcPr>
            <w:tcW w:w="2127" w:type="dxa"/>
            <w:tcBorders>
              <w:top w:val="single" w:sz="4" w:space="0" w:color="auto"/>
              <w:bottom w:val="single" w:sz="4" w:space="0" w:color="auto"/>
              <w:right w:val="nil"/>
            </w:tcBorders>
            <w:shd w:val="clear" w:color="auto" w:fill="FFFFFF" w:themeFill="background1"/>
            <w:tcMar>
              <w:left w:w="108" w:type="dxa"/>
              <w:right w:w="108" w:type="dxa"/>
            </w:tcMar>
          </w:tcPr>
          <w:p w14:paraId="777E9E2F" w14:textId="36DDCEC0" w:rsidR="00BA7A02" w:rsidRPr="00425B2B" w:rsidRDefault="00BA7A02" w:rsidP="00BA7A02">
            <w:pPr>
              <w:pStyle w:val="TableHeading"/>
            </w:pPr>
            <w:bookmarkStart w:id="24" w:name="Title_3"/>
            <w:bookmarkEnd w:id="24"/>
            <w:r w:rsidRPr="00EB5B94">
              <w:t xml:space="preserve">Initial </w:t>
            </w:r>
            <w:r>
              <w:t>a</w:t>
            </w:r>
            <w:r w:rsidRPr="00EB5B94">
              <w:t>ction</w:t>
            </w:r>
            <w:r>
              <w:t>s</w:t>
            </w:r>
          </w:p>
        </w:tc>
        <w:tc>
          <w:tcPr>
            <w:tcW w:w="4110" w:type="dxa"/>
            <w:tcBorders>
              <w:top w:val="single" w:sz="4" w:space="0" w:color="auto"/>
              <w:left w:val="nil"/>
              <w:bottom w:val="single" w:sz="4" w:space="0" w:color="auto"/>
              <w:right w:val="nil"/>
            </w:tcBorders>
            <w:shd w:val="clear" w:color="auto" w:fill="FFFFFF" w:themeFill="background1"/>
            <w:tcMar>
              <w:left w:w="108" w:type="dxa"/>
              <w:right w:w="108" w:type="dxa"/>
            </w:tcMar>
          </w:tcPr>
          <w:p w14:paraId="4F876F7A" w14:textId="2B50139A" w:rsidR="00BA7A02" w:rsidRPr="00425B2B" w:rsidRDefault="00BA7A02" w:rsidP="00BA7A02">
            <w:pPr>
              <w:pStyle w:val="TableHeading"/>
              <w:rPr>
                <w:rFonts w:eastAsiaTheme="minorEastAsia"/>
                <w:color w:val="000000" w:themeColor="text1"/>
              </w:rPr>
            </w:pPr>
            <w:r w:rsidRPr="00EB5B94">
              <w:t>A</w:t>
            </w:r>
            <w:r>
              <w:t>ction plan a</w:t>
            </w:r>
            <w:r w:rsidRPr="00EB5B94">
              <w:t>ctivities</w:t>
            </w:r>
          </w:p>
        </w:tc>
        <w:tc>
          <w:tcPr>
            <w:tcW w:w="2127" w:type="dxa"/>
            <w:tcBorders>
              <w:top w:val="single" w:sz="4" w:space="0" w:color="auto"/>
              <w:left w:val="nil"/>
              <w:bottom w:val="single" w:sz="4" w:space="0" w:color="auto"/>
              <w:right w:val="nil"/>
            </w:tcBorders>
            <w:shd w:val="clear" w:color="auto" w:fill="FFFFFF" w:themeFill="background1"/>
          </w:tcPr>
          <w:p w14:paraId="19CC85A5" w14:textId="172F8D02" w:rsidR="00BA7A02" w:rsidRPr="00425B2B" w:rsidRDefault="00BA7A02" w:rsidP="00BA7A02">
            <w:pPr>
              <w:pStyle w:val="TableHeading"/>
              <w:rPr>
                <w:rFonts w:eastAsiaTheme="minorEastAsia"/>
                <w:color w:val="000000" w:themeColor="text1"/>
              </w:rPr>
            </w:pPr>
            <w:r w:rsidRPr="00EB5B94">
              <w:t xml:space="preserve">Activity </w:t>
            </w:r>
            <w:r>
              <w:t>l</w:t>
            </w:r>
            <w:r w:rsidRPr="00EB5B94">
              <w:t>ead</w:t>
            </w:r>
            <w:r>
              <w:t>ers</w:t>
            </w:r>
          </w:p>
        </w:tc>
        <w:tc>
          <w:tcPr>
            <w:tcW w:w="850" w:type="dxa"/>
            <w:tcBorders>
              <w:top w:val="single" w:sz="4" w:space="0" w:color="auto"/>
              <w:left w:val="nil"/>
              <w:bottom w:val="single" w:sz="4" w:space="0" w:color="auto"/>
            </w:tcBorders>
            <w:shd w:val="clear" w:color="auto" w:fill="FFFFFF" w:themeFill="background1"/>
          </w:tcPr>
          <w:p w14:paraId="562FDB1D" w14:textId="604A8567" w:rsidR="00BA7A02" w:rsidRPr="00425B2B" w:rsidRDefault="00BA7A02" w:rsidP="00BA7A02">
            <w:pPr>
              <w:pStyle w:val="TableHeading"/>
              <w:rPr>
                <w:rFonts w:eastAsiaTheme="minorEastAsia"/>
                <w:color w:val="000000" w:themeColor="text1"/>
              </w:rPr>
            </w:pPr>
            <w:r w:rsidRPr="00EB5B94">
              <w:t>Due</w:t>
            </w:r>
          </w:p>
        </w:tc>
      </w:tr>
      <w:tr w:rsidR="00427034" w:rsidRPr="00651189" w14:paraId="36D60BDA" w14:textId="77777777" w:rsidTr="00427034">
        <w:tc>
          <w:tcPr>
            <w:tcW w:w="2127" w:type="dxa"/>
            <w:tcBorders>
              <w:top w:val="single" w:sz="4" w:space="0" w:color="auto"/>
              <w:bottom w:val="single" w:sz="4" w:space="0" w:color="auto"/>
              <w:right w:val="nil"/>
            </w:tcBorders>
            <w:tcMar>
              <w:left w:w="108" w:type="dxa"/>
              <w:right w:w="108" w:type="dxa"/>
            </w:tcMar>
            <w:vAlign w:val="center"/>
          </w:tcPr>
          <w:p w14:paraId="65137A02" w14:textId="77777777" w:rsidR="00427034" w:rsidRPr="00651189" w:rsidRDefault="00427034" w:rsidP="002F3FA6">
            <w:pPr>
              <w:pStyle w:val="TableText"/>
              <w:rPr>
                <w:rFonts w:ascii="Calibri" w:hAnsi="Calibri" w:cs="Calibri"/>
              </w:rPr>
            </w:pPr>
            <w:r w:rsidRPr="6015FD3D">
              <w:rPr>
                <w:rFonts w:ascii="Calibri" w:hAnsi="Calibri" w:cs="Calibri"/>
              </w:rPr>
              <w:t>IA3.1 Identify current and future skills needs in key areas.</w:t>
            </w:r>
          </w:p>
        </w:tc>
        <w:tc>
          <w:tcPr>
            <w:tcW w:w="4110" w:type="dxa"/>
            <w:tcBorders>
              <w:top w:val="single" w:sz="4" w:space="0" w:color="auto"/>
              <w:left w:val="nil"/>
              <w:bottom w:val="single" w:sz="4" w:space="0" w:color="auto"/>
            </w:tcBorders>
            <w:tcMar>
              <w:left w:w="108" w:type="dxa"/>
              <w:right w:w="108" w:type="dxa"/>
            </w:tcMar>
          </w:tcPr>
          <w:p w14:paraId="373C895A"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Conduct and disseminate a national biosecurity skill needs analysis to identify current and emerging critical skills gap opportunities.</w:t>
            </w:r>
          </w:p>
        </w:tc>
        <w:tc>
          <w:tcPr>
            <w:tcW w:w="2127" w:type="dxa"/>
            <w:tcBorders>
              <w:top w:val="single" w:sz="4" w:space="0" w:color="auto"/>
              <w:bottom w:val="single" w:sz="4" w:space="0" w:color="auto"/>
            </w:tcBorders>
          </w:tcPr>
          <w:p w14:paraId="286E0761"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South Australia and New South Wales</w:t>
            </w:r>
          </w:p>
        </w:tc>
        <w:tc>
          <w:tcPr>
            <w:tcW w:w="850" w:type="dxa"/>
            <w:tcBorders>
              <w:top w:val="single" w:sz="4" w:space="0" w:color="auto"/>
              <w:bottom w:val="single" w:sz="4" w:space="0" w:color="auto"/>
            </w:tcBorders>
          </w:tcPr>
          <w:p w14:paraId="201DEB3B" w14:textId="382DF276"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Oct</w:t>
            </w:r>
            <w:r w:rsidR="00DC2B49">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427034" w:rsidRPr="00651189" w14:paraId="7B7F0253" w14:textId="77777777" w:rsidTr="00427034">
        <w:tc>
          <w:tcPr>
            <w:tcW w:w="2127" w:type="dxa"/>
            <w:tcBorders>
              <w:top w:val="single" w:sz="4" w:space="0" w:color="auto"/>
              <w:bottom w:val="single" w:sz="4" w:space="0" w:color="auto"/>
              <w:right w:val="nil"/>
            </w:tcBorders>
            <w:tcMar>
              <w:left w:w="108" w:type="dxa"/>
              <w:right w:w="108" w:type="dxa"/>
            </w:tcMar>
            <w:vAlign w:val="center"/>
          </w:tcPr>
          <w:p w14:paraId="4C9186BB" w14:textId="77777777" w:rsidR="00427034" w:rsidRPr="00651189" w:rsidRDefault="00427034" w:rsidP="002F3FA6">
            <w:pPr>
              <w:pStyle w:val="TableText"/>
              <w:rPr>
                <w:rFonts w:ascii="Calibri" w:hAnsi="Calibri" w:cs="Calibri"/>
              </w:rPr>
            </w:pPr>
            <w:r w:rsidRPr="6015FD3D">
              <w:rPr>
                <w:rFonts w:ascii="Calibri" w:hAnsi="Calibri" w:cs="Calibri"/>
              </w:rPr>
              <w:t>IA3.2 Develop a national workforce strategy to build, retain and deploy capability.</w:t>
            </w:r>
          </w:p>
        </w:tc>
        <w:tc>
          <w:tcPr>
            <w:tcW w:w="4110" w:type="dxa"/>
            <w:tcBorders>
              <w:top w:val="single" w:sz="4" w:space="0" w:color="auto"/>
              <w:left w:val="nil"/>
              <w:bottom w:val="single" w:sz="4" w:space="0" w:color="auto"/>
            </w:tcBorders>
            <w:tcMar>
              <w:left w:w="108" w:type="dxa"/>
              <w:right w:w="108" w:type="dxa"/>
            </w:tcMar>
          </w:tcPr>
          <w:p w14:paraId="05EA9A4A"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Operationalise the skills needs analysis through a National Biosecurity Workforce Strategy that includes education pathways.</w:t>
            </w:r>
          </w:p>
        </w:tc>
        <w:tc>
          <w:tcPr>
            <w:tcW w:w="2127" w:type="dxa"/>
            <w:tcBorders>
              <w:top w:val="single" w:sz="4" w:space="0" w:color="auto"/>
              <w:bottom w:val="single" w:sz="4" w:space="0" w:color="auto"/>
            </w:tcBorders>
          </w:tcPr>
          <w:p w14:paraId="142DC102"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w:t>
            </w:r>
          </w:p>
        </w:tc>
        <w:tc>
          <w:tcPr>
            <w:tcW w:w="850" w:type="dxa"/>
            <w:tcBorders>
              <w:top w:val="single" w:sz="4" w:space="0" w:color="auto"/>
              <w:bottom w:val="single" w:sz="4" w:space="0" w:color="auto"/>
            </w:tcBorders>
          </w:tcPr>
          <w:p w14:paraId="3A521F14" w14:textId="48E9BE4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Oct</w:t>
            </w:r>
            <w:r w:rsidR="00DC2B49">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26</w:t>
            </w:r>
          </w:p>
        </w:tc>
      </w:tr>
      <w:tr w:rsidR="00427034" w:rsidRPr="00651189" w14:paraId="3D3B4655" w14:textId="77777777" w:rsidTr="00427034">
        <w:tc>
          <w:tcPr>
            <w:tcW w:w="2127" w:type="dxa"/>
            <w:vMerge w:val="restart"/>
            <w:tcBorders>
              <w:top w:val="single" w:sz="4" w:space="0" w:color="auto"/>
              <w:right w:val="nil"/>
            </w:tcBorders>
            <w:tcMar>
              <w:left w:w="108" w:type="dxa"/>
              <w:right w:w="108" w:type="dxa"/>
            </w:tcMar>
            <w:vAlign w:val="center"/>
          </w:tcPr>
          <w:p w14:paraId="528935F8" w14:textId="77777777" w:rsidR="00427034" w:rsidRPr="00651189" w:rsidRDefault="00427034" w:rsidP="002F3FA6">
            <w:pPr>
              <w:pStyle w:val="TableText"/>
              <w:rPr>
                <w:rFonts w:ascii="Calibri" w:hAnsi="Calibri" w:cs="Calibri"/>
              </w:rPr>
            </w:pPr>
            <w:r w:rsidRPr="6015FD3D">
              <w:rPr>
                <w:rFonts w:ascii="Calibri" w:hAnsi="Calibri" w:cs="Calibri"/>
              </w:rPr>
              <w:t>IA3.3 Build upon and expand existing cooperative partnership arrangements.</w:t>
            </w:r>
          </w:p>
        </w:tc>
        <w:tc>
          <w:tcPr>
            <w:tcW w:w="4110" w:type="dxa"/>
            <w:tcBorders>
              <w:top w:val="single" w:sz="4" w:space="0" w:color="auto"/>
              <w:left w:val="nil"/>
              <w:bottom w:val="single" w:sz="4" w:space="0" w:color="auto"/>
            </w:tcBorders>
            <w:tcMar>
              <w:left w:w="108" w:type="dxa"/>
              <w:right w:w="108" w:type="dxa"/>
            </w:tcMar>
          </w:tcPr>
          <w:p w14:paraId="74E842D5" w14:textId="1630E466"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 xml:space="preserve">Institute a specialist stream for biosecurity workforce in the </w:t>
            </w:r>
            <w:r w:rsidR="001B0AF1">
              <w:rPr>
                <w:rFonts w:ascii="Calibri" w:eastAsiaTheme="minorEastAsia" w:hAnsi="Calibri" w:cs="Calibri"/>
                <w:color w:val="000000" w:themeColor="text1"/>
              </w:rPr>
              <w:t>N</w:t>
            </w:r>
            <w:r w:rsidRPr="0590BA0B">
              <w:rPr>
                <w:rFonts w:ascii="Calibri" w:eastAsiaTheme="minorEastAsia" w:hAnsi="Calibri" w:cs="Calibri"/>
                <w:color w:val="000000" w:themeColor="text1"/>
              </w:rPr>
              <w:t>ational Biosecurity Forum to build on and expand existing cooperative and partnership arrangements.</w:t>
            </w:r>
          </w:p>
        </w:tc>
        <w:tc>
          <w:tcPr>
            <w:tcW w:w="2127" w:type="dxa"/>
            <w:tcBorders>
              <w:top w:val="single" w:sz="4" w:space="0" w:color="auto"/>
              <w:bottom w:val="single" w:sz="4" w:space="0" w:color="auto"/>
            </w:tcBorders>
          </w:tcPr>
          <w:p w14:paraId="0D58DA1F"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w:t>
            </w:r>
          </w:p>
        </w:tc>
        <w:tc>
          <w:tcPr>
            <w:tcW w:w="850" w:type="dxa"/>
            <w:tcBorders>
              <w:top w:val="single" w:sz="4" w:space="0" w:color="auto"/>
              <w:bottom w:val="single" w:sz="4" w:space="0" w:color="auto"/>
            </w:tcBorders>
          </w:tcPr>
          <w:p w14:paraId="24B48ABD" w14:textId="4D849F68"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Dec</w:t>
            </w:r>
            <w:r w:rsidR="00DC2B49">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427034" w:rsidRPr="00651189" w14:paraId="225F24B4" w14:textId="77777777" w:rsidTr="00427034">
        <w:tc>
          <w:tcPr>
            <w:tcW w:w="2127" w:type="dxa"/>
            <w:vMerge/>
            <w:tcMar>
              <w:left w:w="108" w:type="dxa"/>
              <w:right w:w="108" w:type="dxa"/>
            </w:tcMar>
          </w:tcPr>
          <w:p w14:paraId="26060445" w14:textId="77777777" w:rsidR="00427034" w:rsidRPr="00651189" w:rsidRDefault="00427034" w:rsidP="002F3FA6">
            <w:pPr>
              <w:pStyle w:val="TableText"/>
              <w:rPr>
                <w:rFonts w:ascii="Calibri" w:hAnsi="Calibri" w:cs="Calibri"/>
                <w:szCs w:val="18"/>
              </w:rPr>
            </w:pPr>
          </w:p>
        </w:tc>
        <w:tc>
          <w:tcPr>
            <w:tcW w:w="4110" w:type="dxa"/>
            <w:tcBorders>
              <w:top w:val="single" w:sz="4" w:space="0" w:color="auto"/>
              <w:left w:val="nil"/>
              <w:bottom w:val="single" w:sz="4" w:space="0" w:color="auto"/>
            </w:tcBorders>
            <w:tcMar>
              <w:left w:w="108" w:type="dxa"/>
              <w:right w:w="108" w:type="dxa"/>
            </w:tcMar>
          </w:tcPr>
          <w:p w14:paraId="4FDE994A"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Expand and promote the National Online Biosecurity Training Hub.</w:t>
            </w:r>
          </w:p>
        </w:tc>
        <w:tc>
          <w:tcPr>
            <w:tcW w:w="2127" w:type="dxa"/>
            <w:tcBorders>
              <w:top w:val="single" w:sz="4" w:space="0" w:color="auto"/>
              <w:bottom w:val="single" w:sz="4" w:space="0" w:color="auto"/>
            </w:tcBorders>
          </w:tcPr>
          <w:p w14:paraId="29AB9E00"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Queensland</w:t>
            </w:r>
          </w:p>
        </w:tc>
        <w:tc>
          <w:tcPr>
            <w:tcW w:w="850" w:type="dxa"/>
            <w:tcBorders>
              <w:top w:val="single" w:sz="4" w:space="0" w:color="auto"/>
              <w:bottom w:val="single" w:sz="4" w:space="0" w:color="auto"/>
            </w:tcBorders>
          </w:tcPr>
          <w:p w14:paraId="37D931FA" w14:textId="2DCAEA41"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Dec</w:t>
            </w:r>
            <w:r w:rsidR="00DC2B49">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427034" w:rsidRPr="00651189" w14:paraId="30A2D769" w14:textId="77777777" w:rsidTr="00427034">
        <w:tc>
          <w:tcPr>
            <w:tcW w:w="2127" w:type="dxa"/>
            <w:vMerge w:val="restart"/>
            <w:tcBorders>
              <w:top w:val="single" w:sz="4" w:space="0" w:color="auto"/>
              <w:right w:val="nil"/>
            </w:tcBorders>
            <w:tcMar>
              <w:left w:w="108" w:type="dxa"/>
              <w:right w:w="108" w:type="dxa"/>
            </w:tcMar>
            <w:vAlign w:val="center"/>
          </w:tcPr>
          <w:p w14:paraId="370FE1E9" w14:textId="77777777" w:rsidR="00427034" w:rsidRPr="00651189" w:rsidRDefault="00427034" w:rsidP="002F3FA6">
            <w:pPr>
              <w:pStyle w:val="TableText"/>
              <w:rPr>
                <w:rFonts w:ascii="Calibri" w:hAnsi="Calibri" w:cs="Calibri"/>
              </w:rPr>
            </w:pPr>
            <w:r w:rsidRPr="6015FD3D">
              <w:rPr>
                <w:rFonts w:ascii="Calibri" w:hAnsi="Calibri" w:cs="Calibri"/>
              </w:rPr>
              <w:t>IA3.4 Strengthen professional development programs.</w:t>
            </w:r>
          </w:p>
        </w:tc>
        <w:tc>
          <w:tcPr>
            <w:tcW w:w="4110" w:type="dxa"/>
            <w:tcBorders>
              <w:top w:val="single" w:sz="4" w:space="0" w:color="auto"/>
              <w:left w:val="nil"/>
              <w:bottom w:val="single" w:sz="4" w:space="0" w:color="auto"/>
            </w:tcBorders>
            <w:tcMar>
              <w:left w:w="108" w:type="dxa"/>
              <w:right w:w="108" w:type="dxa"/>
            </w:tcMar>
          </w:tcPr>
          <w:p w14:paraId="775A7D49" w14:textId="77777777" w:rsidR="00427034" w:rsidRPr="00AC71D1" w:rsidRDefault="00427034" w:rsidP="002F3FA6">
            <w:pPr>
              <w:pStyle w:val="TableText"/>
              <w:rPr>
                <w:rFonts w:ascii="Calibri" w:eastAsiaTheme="minorEastAsia" w:hAnsi="Calibri" w:cs="Calibri"/>
              </w:rPr>
            </w:pPr>
            <w:r w:rsidRPr="00AC71D1">
              <w:rPr>
                <w:rFonts w:ascii="Calibri" w:eastAsiaTheme="minorEastAsia" w:hAnsi="Calibri" w:cs="Calibri"/>
              </w:rPr>
              <w:t>Broaden biosecurity training delivered through the Biosecurity Training Centre (Charles Sturt University) to cater to those working in industry and environmental biosecurity roles.</w:t>
            </w:r>
          </w:p>
        </w:tc>
        <w:tc>
          <w:tcPr>
            <w:tcW w:w="2127" w:type="dxa"/>
            <w:tcBorders>
              <w:top w:val="single" w:sz="4" w:space="0" w:color="auto"/>
              <w:bottom w:val="single" w:sz="4" w:space="0" w:color="auto"/>
            </w:tcBorders>
          </w:tcPr>
          <w:p w14:paraId="65854AF6" w14:textId="7777777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w:t>
            </w:r>
          </w:p>
        </w:tc>
        <w:tc>
          <w:tcPr>
            <w:tcW w:w="850" w:type="dxa"/>
            <w:tcBorders>
              <w:top w:val="single" w:sz="4" w:space="0" w:color="auto"/>
              <w:bottom w:val="single" w:sz="4" w:space="0" w:color="auto"/>
            </w:tcBorders>
          </w:tcPr>
          <w:p w14:paraId="45999982" w14:textId="0617222B"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Jul</w:t>
            </w:r>
            <w:r w:rsidR="00DC2B49">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427034" w:rsidRPr="00651189" w14:paraId="052A260C" w14:textId="77777777" w:rsidTr="00427034">
        <w:tc>
          <w:tcPr>
            <w:tcW w:w="2127" w:type="dxa"/>
            <w:vMerge/>
            <w:tcMar>
              <w:left w:w="108" w:type="dxa"/>
              <w:right w:w="108" w:type="dxa"/>
            </w:tcMar>
          </w:tcPr>
          <w:p w14:paraId="722EA00C" w14:textId="77777777" w:rsidR="00427034" w:rsidRPr="00651189" w:rsidRDefault="00427034" w:rsidP="002F3FA6">
            <w:pPr>
              <w:pStyle w:val="TableText"/>
              <w:rPr>
                <w:rFonts w:ascii="Calibri" w:hAnsi="Calibri" w:cs="Calibri"/>
                <w:szCs w:val="18"/>
              </w:rPr>
            </w:pPr>
          </w:p>
        </w:tc>
        <w:tc>
          <w:tcPr>
            <w:tcW w:w="4110" w:type="dxa"/>
            <w:tcBorders>
              <w:top w:val="single" w:sz="4" w:space="0" w:color="auto"/>
              <w:left w:val="nil"/>
              <w:bottom w:val="single" w:sz="4" w:space="0" w:color="auto"/>
            </w:tcBorders>
            <w:tcMar>
              <w:left w:w="108" w:type="dxa"/>
              <w:right w:w="108" w:type="dxa"/>
            </w:tcMar>
          </w:tcPr>
          <w:p w14:paraId="01BEE273" w14:textId="52576B00" w:rsidR="00427034" w:rsidRPr="00D32D0E" w:rsidRDefault="00427034" w:rsidP="002F3FA6">
            <w:pPr>
              <w:pStyle w:val="TableText"/>
              <w:rPr>
                <w:rFonts w:ascii="Calibri" w:eastAsiaTheme="minorEastAsia" w:hAnsi="Calibri" w:cs="Calibri"/>
              </w:rPr>
            </w:pPr>
            <w:r w:rsidRPr="00D32D0E">
              <w:rPr>
                <w:rFonts w:ascii="Calibri" w:eastAsiaTheme="minorEastAsia" w:hAnsi="Calibri" w:cs="Calibri"/>
              </w:rPr>
              <w:t>Develop and deliver training in biosecurity response prepare</w:t>
            </w:r>
            <w:r w:rsidR="002C2C01">
              <w:rPr>
                <w:rFonts w:ascii="Calibri" w:eastAsiaTheme="minorEastAsia" w:hAnsi="Calibri" w:cs="Calibri"/>
              </w:rPr>
              <w:t>dness</w:t>
            </w:r>
            <w:r w:rsidRPr="00D32D0E">
              <w:rPr>
                <w:rFonts w:ascii="Calibri" w:eastAsiaTheme="minorEastAsia" w:hAnsi="Calibri" w:cs="Calibri"/>
              </w:rPr>
              <w:t xml:space="preserve"> and capability to support those working in industry and environmental biosecurity roles.</w:t>
            </w:r>
          </w:p>
        </w:tc>
        <w:tc>
          <w:tcPr>
            <w:tcW w:w="2127" w:type="dxa"/>
            <w:tcBorders>
              <w:top w:val="single" w:sz="4" w:space="0" w:color="auto"/>
              <w:bottom w:val="single" w:sz="4" w:space="0" w:color="auto"/>
            </w:tcBorders>
          </w:tcPr>
          <w:p w14:paraId="13021372" w14:textId="2D24DF14" w:rsidR="00427034" w:rsidRPr="00D32D0E" w:rsidRDefault="00F46958" w:rsidP="002F3FA6">
            <w:pPr>
              <w:pStyle w:val="TableText"/>
              <w:rPr>
                <w:rFonts w:ascii="Calibri" w:eastAsiaTheme="minorEastAsia" w:hAnsi="Calibri" w:cs="Calibri"/>
                <w:color w:val="000000" w:themeColor="text1"/>
              </w:rPr>
            </w:pPr>
            <w:r>
              <w:rPr>
                <w:rFonts w:ascii="Calibri" w:eastAsiaTheme="minorEastAsia" w:hAnsi="Calibri" w:cs="Calibri"/>
                <w:color w:val="000000" w:themeColor="text1"/>
              </w:rPr>
              <w:t>Commonwealth with input from relevant stakeholders</w:t>
            </w:r>
          </w:p>
        </w:tc>
        <w:tc>
          <w:tcPr>
            <w:tcW w:w="850" w:type="dxa"/>
            <w:tcBorders>
              <w:top w:val="single" w:sz="4" w:space="0" w:color="auto"/>
              <w:bottom w:val="single" w:sz="4" w:space="0" w:color="auto"/>
            </w:tcBorders>
          </w:tcPr>
          <w:p w14:paraId="51B0C2B3" w14:textId="43C8E127" w:rsidR="00427034" w:rsidRPr="00651189" w:rsidRDefault="00427034"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Oct</w:t>
            </w:r>
            <w:r w:rsidR="00DC2B49">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bl>
    <w:p w14:paraId="2B3D82ED" w14:textId="3CC9C8F9" w:rsidR="00EB5B94" w:rsidRDefault="002733F0" w:rsidP="00113401">
      <w:pPr>
        <w:pStyle w:val="Heading3"/>
        <w:pageBreakBefore/>
        <w:numPr>
          <w:ilvl w:val="0"/>
          <w:numId w:val="0"/>
        </w:numPr>
        <w:ind w:left="964" w:hanging="964"/>
        <w:rPr>
          <w:lang w:eastAsia="ja-JP"/>
        </w:rPr>
      </w:pPr>
      <w:bookmarkStart w:id="25" w:name="_Toc174097860"/>
      <w:r>
        <w:rPr>
          <w:lang w:eastAsia="ja-JP"/>
        </w:rPr>
        <w:lastRenderedPageBreak/>
        <w:t>NBS p</w:t>
      </w:r>
      <w:r w:rsidR="00EB5B94" w:rsidRPr="00FF2EB1">
        <w:rPr>
          <w:lang w:eastAsia="ja-JP"/>
        </w:rPr>
        <w:t>riority area</w:t>
      </w:r>
      <w:r w:rsidR="007B55B3">
        <w:rPr>
          <w:lang w:eastAsia="ja-JP"/>
        </w:rPr>
        <w:t xml:space="preserve"> 4</w:t>
      </w:r>
      <w:r w:rsidR="00EB5B94" w:rsidRPr="00FF2EB1">
        <w:rPr>
          <w:lang w:eastAsia="ja-JP"/>
        </w:rPr>
        <w:t>:</w:t>
      </w:r>
      <w:r w:rsidR="00EB5B94">
        <w:rPr>
          <w:lang w:eastAsia="ja-JP"/>
        </w:rPr>
        <w:t xml:space="preserve"> Coordinated preparedness and response</w:t>
      </w:r>
      <w:bookmarkEnd w:id="25"/>
    </w:p>
    <w:p w14:paraId="71D48A99" w14:textId="77777777" w:rsidR="00EB5B94" w:rsidRDefault="00EB5B94" w:rsidP="001A1189">
      <w:pPr>
        <w:pStyle w:val="BoxText"/>
        <w:rPr>
          <w:lang w:eastAsia="ja-JP"/>
        </w:rPr>
      </w:pPr>
      <w:r>
        <w:rPr>
          <w:lang w:eastAsia="ja-JP"/>
        </w:rPr>
        <w:t>We will boost our system’s adaptability and its capacity to prevent, detect, manage, respond to and recover from outbreaks.</w:t>
      </w:r>
    </w:p>
    <w:p w14:paraId="01D5FAE2" w14:textId="591DF314" w:rsidR="00EB5B94" w:rsidRDefault="002733F0" w:rsidP="00EB5B94">
      <w:pPr>
        <w:rPr>
          <w:lang w:eastAsia="ja-JP"/>
        </w:rPr>
      </w:pPr>
      <w:r>
        <w:rPr>
          <w:lang w:eastAsia="ja-JP"/>
        </w:rPr>
        <w:t>The c</w:t>
      </w:r>
      <w:r w:rsidR="00EB5B94">
        <w:rPr>
          <w:lang w:eastAsia="ja-JP"/>
        </w:rPr>
        <w:t xml:space="preserve">oordinated preparedness and response </w:t>
      </w:r>
      <w:r>
        <w:rPr>
          <w:lang w:eastAsia="ja-JP"/>
        </w:rPr>
        <w:t xml:space="preserve">priority </w:t>
      </w:r>
      <w:r w:rsidR="00EB5B94">
        <w:rPr>
          <w:lang w:eastAsia="ja-JP"/>
        </w:rPr>
        <w:t>aims to enhance preparedness and response capability through improved coordination, regional planning, increased collaboration and faster information and data sharing to support our system’s resilience and adaptability.</w:t>
      </w:r>
    </w:p>
    <w:p w14:paraId="23EC0396" w14:textId="31C6EEDC" w:rsidR="00427034" w:rsidRDefault="00EB5B94" w:rsidP="00EB5B94">
      <w:pPr>
        <w:rPr>
          <w:lang w:eastAsia="ja-JP"/>
        </w:rPr>
      </w:pPr>
      <w:r>
        <w:rPr>
          <w:lang w:eastAsia="ja-JP"/>
        </w:rPr>
        <w:t>The need for nationally coordinated</w:t>
      </w:r>
      <w:r w:rsidR="006C133C">
        <w:rPr>
          <w:lang w:eastAsia="ja-JP"/>
        </w:rPr>
        <w:t xml:space="preserve"> One Health</w:t>
      </w:r>
      <w:r>
        <w:rPr>
          <w:lang w:eastAsia="ja-JP"/>
        </w:rPr>
        <w:t xml:space="preserve"> approach and emphasis on improving surveillance systems and data sharing was highlighted in stakeholder workshops.</w:t>
      </w:r>
    </w:p>
    <w:p w14:paraId="621DCDE1" w14:textId="60641F61" w:rsidR="00427034" w:rsidRDefault="00EB5B94" w:rsidP="00EB5B94">
      <w:pPr>
        <w:pStyle w:val="Caption"/>
        <w:rPr>
          <w:lang w:eastAsia="ja-JP"/>
        </w:rPr>
      </w:pPr>
      <w:bookmarkStart w:id="26" w:name="_Toc172303489"/>
      <w:r>
        <w:t xml:space="preserve">Table </w:t>
      </w:r>
      <w:r>
        <w:fldChar w:fldCharType="begin"/>
      </w:r>
      <w:r>
        <w:instrText xml:space="preserve"> SEQ Table \* ARABIC </w:instrText>
      </w:r>
      <w:r>
        <w:fldChar w:fldCharType="separate"/>
      </w:r>
      <w:r w:rsidR="006072E5">
        <w:rPr>
          <w:noProof/>
        </w:rPr>
        <w:t>4</w:t>
      </w:r>
      <w:r>
        <w:fldChar w:fldCharType="end"/>
      </w:r>
      <w:r>
        <w:t xml:space="preserve"> </w:t>
      </w:r>
      <w:r w:rsidRPr="00EB5B94">
        <w:t xml:space="preserve">Activities </w:t>
      </w:r>
      <w:r w:rsidRPr="00FF2EB1">
        <w:t xml:space="preserve">for </w:t>
      </w:r>
      <w:r w:rsidR="002733F0">
        <w:t xml:space="preserve">NBS </w:t>
      </w:r>
      <w:r w:rsidRPr="00FF2EB1">
        <w:t>priority area 4</w:t>
      </w:r>
      <w:bookmarkEnd w:id="26"/>
    </w:p>
    <w:tbl>
      <w:tblPr>
        <w:tblW w:w="9214" w:type="dxa"/>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127"/>
        <w:gridCol w:w="4110"/>
        <w:gridCol w:w="2127"/>
        <w:gridCol w:w="850"/>
      </w:tblGrid>
      <w:tr w:rsidR="00BA7A02" w:rsidRPr="00425B2B" w14:paraId="4C9A59A4" w14:textId="77777777" w:rsidTr="002F3FA6">
        <w:trPr>
          <w:cantSplit/>
          <w:tblHeader/>
        </w:trPr>
        <w:tc>
          <w:tcPr>
            <w:tcW w:w="2127" w:type="dxa"/>
            <w:tcBorders>
              <w:top w:val="single" w:sz="4" w:space="0" w:color="auto"/>
              <w:bottom w:val="single" w:sz="4" w:space="0" w:color="auto"/>
              <w:right w:val="nil"/>
            </w:tcBorders>
            <w:shd w:val="clear" w:color="auto" w:fill="FFFFFF" w:themeFill="background1"/>
            <w:tcMar>
              <w:left w:w="108" w:type="dxa"/>
              <w:right w:w="108" w:type="dxa"/>
            </w:tcMar>
          </w:tcPr>
          <w:p w14:paraId="1E77BFAC" w14:textId="1A11CE8F" w:rsidR="00BA7A02" w:rsidRPr="00A303FE" w:rsidRDefault="00BA7A02" w:rsidP="00BA7A02">
            <w:pPr>
              <w:pStyle w:val="TableHeading"/>
            </w:pPr>
            <w:bookmarkStart w:id="27" w:name="Title_4"/>
            <w:bookmarkEnd w:id="27"/>
            <w:r w:rsidRPr="001048A3">
              <w:t>Initial actions</w:t>
            </w:r>
          </w:p>
        </w:tc>
        <w:tc>
          <w:tcPr>
            <w:tcW w:w="4110" w:type="dxa"/>
            <w:tcBorders>
              <w:top w:val="single" w:sz="4" w:space="0" w:color="auto"/>
              <w:left w:val="nil"/>
              <w:bottom w:val="single" w:sz="4" w:space="0" w:color="auto"/>
              <w:right w:val="nil"/>
            </w:tcBorders>
            <w:shd w:val="clear" w:color="auto" w:fill="FFFFFF" w:themeFill="background1"/>
            <w:tcMar>
              <w:left w:w="108" w:type="dxa"/>
              <w:right w:w="108" w:type="dxa"/>
            </w:tcMar>
          </w:tcPr>
          <w:p w14:paraId="7300F396" w14:textId="58656C27" w:rsidR="00BA7A02" w:rsidRPr="00A303FE" w:rsidRDefault="00BA7A02" w:rsidP="00BA7A02">
            <w:pPr>
              <w:pStyle w:val="TableHeading"/>
              <w:rPr>
                <w:rFonts w:eastAsiaTheme="minorEastAsia"/>
                <w:color w:val="000000" w:themeColor="text1"/>
              </w:rPr>
            </w:pPr>
            <w:r w:rsidRPr="001048A3">
              <w:t>Action plan activities</w:t>
            </w:r>
          </w:p>
        </w:tc>
        <w:tc>
          <w:tcPr>
            <w:tcW w:w="2127" w:type="dxa"/>
            <w:tcBorders>
              <w:top w:val="single" w:sz="4" w:space="0" w:color="auto"/>
              <w:left w:val="nil"/>
              <w:bottom w:val="single" w:sz="4" w:space="0" w:color="auto"/>
              <w:right w:val="nil"/>
            </w:tcBorders>
            <w:shd w:val="clear" w:color="auto" w:fill="FFFFFF" w:themeFill="background1"/>
          </w:tcPr>
          <w:p w14:paraId="068DB3FD" w14:textId="1730CB68" w:rsidR="00BA7A02" w:rsidRPr="00A303FE" w:rsidRDefault="00BA7A02" w:rsidP="00BA7A02">
            <w:pPr>
              <w:pStyle w:val="TableHeading"/>
              <w:rPr>
                <w:rFonts w:eastAsiaTheme="minorEastAsia"/>
                <w:color w:val="000000" w:themeColor="text1"/>
              </w:rPr>
            </w:pPr>
            <w:r w:rsidRPr="001048A3">
              <w:t>Activity leaders</w:t>
            </w:r>
          </w:p>
        </w:tc>
        <w:tc>
          <w:tcPr>
            <w:tcW w:w="850" w:type="dxa"/>
            <w:tcBorders>
              <w:top w:val="single" w:sz="4" w:space="0" w:color="auto"/>
              <w:left w:val="nil"/>
              <w:bottom w:val="single" w:sz="4" w:space="0" w:color="auto"/>
            </w:tcBorders>
            <w:shd w:val="clear" w:color="auto" w:fill="FFFFFF" w:themeFill="background1"/>
          </w:tcPr>
          <w:p w14:paraId="053E9302" w14:textId="5702C1EA" w:rsidR="00BA7A02" w:rsidRPr="00A303FE" w:rsidRDefault="00BA7A02" w:rsidP="00BA7A02">
            <w:pPr>
              <w:pStyle w:val="TableHeading"/>
              <w:rPr>
                <w:rFonts w:eastAsiaTheme="minorEastAsia"/>
                <w:color w:val="000000" w:themeColor="text1"/>
              </w:rPr>
            </w:pPr>
            <w:r w:rsidRPr="001048A3">
              <w:t>Due</w:t>
            </w:r>
          </w:p>
        </w:tc>
      </w:tr>
      <w:tr w:rsidR="00EB5B94" w:rsidRPr="00651189" w14:paraId="55226214" w14:textId="77777777" w:rsidTr="00EB5B94">
        <w:tc>
          <w:tcPr>
            <w:tcW w:w="2127" w:type="dxa"/>
            <w:tcBorders>
              <w:top w:val="single" w:sz="4" w:space="0" w:color="auto"/>
              <w:bottom w:val="single" w:sz="4" w:space="0" w:color="auto"/>
              <w:right w:val="nil"/>
            </w:tcBorders>
            <w:shd w:val="clear" w:color="auto" w:fill="FFFFFF" w:themeFill="background1"/>
            <w:tcMar>
              <w:left w:w="108" w:type="dxa"/>
              <w:right w:w="108" w:type="dxa"/>
            </w:tcMar>
            <w:vAlign w:val="center"/>
          </w:tcPr>
          <w:p w14:paraId="586DBEF8" w14:textId="77777777" w:rsidR="00EB5B94" w:rsidRPr="0015517B" w:rsidRDefault="00EB5B94" w:rsidP="002F3FA6">
            <w:pPr>
              <w:pStyle w:val="TableText"/>
              <w:rPr>
                <w:rFonts w:ascii="Calibri" w:hAnsi="Calibri" w:cs="Calibri"/>
              </w:rPr>
            </w:pPr>
            <w:r w:rsidRPr="0015517B">
              <w:rPr>
                <w:rFonts w:ascii="Calibri" w:hAnsi="Calibri" w:cs="Calibri"/>
              </w:rPr>
              <w:t>IA4.1 Undertake and promote regular national preparedness exercises.</w:t>
            </w:r>
          </w:p>
        </w:tc>
        <w:tc>
          <w:tcPr>
            <w:tcW w:w="4110" w:type="dxa"/>
            <w:tcBorders>
              <w:top w:val="single" w:sz="4" w:space="0" w:color="auto"/>
              <w:left w:val="nil"/>
              <w:bottom w:val="single" w:sz="4" w:space="0" w:color="auto"/>
              <w:right w:val="nil"/>
            </w:tcBorders>
            <w:shd w:val="clear" w:color="auto" w:fill="FFFFFF" w:themeFill="background1"/>
            <w:tcMar>
              <w:left w:w="108" w:type="dxa"/>
              <w:right w:w="108" w:type="dxa"/>
            </w:tcMar>
          </w:tcPr>
          <w:p w14:paraId="05441A7F" w14:textId="77777777"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Co-design a national preparedness exercise and commence workshops to agree on critical national practices.</w:t>
            </w:r>
          </w:p>
        </w:tc>
        <w:tc>
          <w:tcPr>
            <w:tcW w:w="2127" w:type="dxa"/>
            <w:tcBorders>
              <w:top w:val="single" w:sz="4" w:space="0" w:color="auto"/>
              <w:left w:val="nil"/>
              <w:bottom w:val="single" w:sz="4" w:space="0" w:color="auto"/>
              <w:right w:val="nil"/>
            </w:tcBorders>
            <w:shd w:val="clear" w:color="auto" w:fill="FFFFFF" w:themeFill="background1"/>
          </w:tcPr>
          <w:p w14:paraId="20B92AEB" w14:textId="77777777"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Commonwealth with input from relevant stakeholders</w:t>
            </w:r>
          </w:p>
        </w:tc>
        <w:tc>
          <w:tcPr>
            <w:tcW w:w="850" w:type="dxa"/>
            <w:tcBorders>
              <w:top w:val="single" w:sz="4" w:space="0" w:color="auto"/>
              <w:left w:val="nil"/>
              <w:bottom w:val="single" w:sz="4" w:space="0" w:color="auto"/>
            </w:tcBorders>
            <w:shd w:val="clear" w:color="auto" w:fill="FFFFFF" w:themeFill="background1"/>
          </w:tcPr>
          <w:p w14:paraId="7AB0365C" w14:textId="0E90660C"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Jun</w:t>
            </w:r>
            <w:r w:rsidR="00C16CA1">
              <w:rPr>
                <w:rFonts w:ascii="Calibri" w:eastAsiaTheme="minorEastAsia" w:hAnsi="Calibri" w:cs="Calibri"/>
                <w:color w:val="000000" w:themeColor="text1"/>
              </w:rPr>
              <w:t xml:space="preserve"> 20</w:t>
            </w:r>
            <w:r w:rsidRPr="0015517B">
              <w:rPr>
                <w:rFonts w:ascii="Calibri" w:eastAsiaTheme="minorEastAsia" w:hAnsi="Calibri" w:cs="Calibri"/>
                <w:color w:val="000000" w:themeColor="text1"/>
              </w:rPr>
              <w:t>25</w:t>
            </w:r>
          </w:p>
        </w:tc>
      </w:tr>
      <w:tr w:rsidR="00EB5B94" w:rsidRPr="00651189" w14:paraId="1A20E46D" w14:textId="77777777" w:rsidTr="00EB5B94">
        <w:tc>
          <w:tcPr>
            <w:tcW w:w="2127" w:type="dxa"/>
            <w:tcBorders>
              <w:top w:val="single" w:sz="4" w:space="0" w:color="auto"/>
              <w:bottom w:val="single" w:sz="4" w:space="0" w:color="auto"/>
              <w:right w:val="nil"/>
            </w:tcBorders>
            <w:shd w:val="clear" w:color="auto" w:fill="FFFFFF" w:themeFill="background1"/>
            <w:tcMar>
              <w:left w:w="108" w:type="dxa"/>
              <w:right w:w="108" w:type="dxa"/>
            </w:tcMar>
            <w:vAlign w:val="center"/>
          </w:tcPr>
          <w:p w14:paraId="23198072" w14:textId="77777777" w:rsidR="00EB5B94" w:rsidRPr="0015517B" w:rsidRDefault="00EB5B94" w:rsidP="002F3FA6">
            <w:pPr>
              <w:pStyle w:val="TableText"/>
              <w:rPr>
                <w:rFonts w:ascii="Calibri" w:hAnsi="Calibri" w:cs="Calibri"/>
              </w:rPr>
            </w:pPr>
            <w:r w:rsidRPr="0015517B">
              <w:rPr>
                <w:rFonts w:ascii="Calibri" w:hAnsi="Calibri" w:cs="Calibri"/>
              </w:rPr>
              <w:t>IA4.2 Advance regionally based planning activities.</w:t>
            </w:r>
          </w:p>
        </w:tc>
        <w:tc>
          <w:tcPr>
            <w:tcW w:w="4110" w:type="dxa"/>
            <w:tcBorders>
              <w:top w:val="single" w:sz="4" w:space="0" w:color="auto"/>
              <w:left w:val="nil"/>
              <w:bottom w:val="single" w:sz="4" w:space="0" w:color="auto"/>
              <w:right w:val="nil"/>
            </w:tcBorders>
            <w:shd w:val="clear" w:color="auto" w:fill="FFFFFF" w:themeFill="background1"/>
            <w:tcMar>
              <w:left w:w="108" w:type="dxa"/>
              <w:right w:w="108" w:type="dxa"/>
            </w:tcMar>
          </w:tcPr>
          <w:p w14:paraId="24614D76" w14:textId="77777777"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Agree to national biosecurity recovery principles. The recovery principles should align with contemporary recovery best practice in other hazards, be mainstreamed across the national biosecurity system and be effectively communicated.</w:t>
            </w:r>
          </w:p>
        </w:tc>
        <w:tc>
          <w:tcPr>
            <w:tcW w:w="2127" w:type="dxa"/>
            <w:tcBorders>
              <w:top w:val="single" w:sz="4" w:space="0" w:color="auto"/>
              <w:left w:val="nil"/>
              <w:bottom w:val="single" w:sz="4" w:space="0" w:color="auto"/>
              <w:right w:val="nil"/>
            </w:tcBorders>
            <w:shd w:val="clear" w:color="auto" w:fill="FFFFFF" w:themeFill="background1"/>
          </w:tcPr>
          <w:p w14:paraId="43E57C9C" w14:textId="77777777"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Commonwealth and Western Australia</w:t>
            </w:r>
          </w:p>
        </w:tc>
        <w:tc>
          <w:tcPr>
            <w:tcW w:w="850" w:type="dxa"/>
            <w:tcBorders>
              <w:top w:val="single" w:sz="4" w:space="0" w:color="auto"/>
              <w:left w:val="nil"/>
              <w:bottom w:val="single" w:sz="4" w:space="0" w:color="auto"/>
            </w:tcBorders>
            <w:shd w:val="clear" w:color="auto" w:fill="FFFFFF" w:themeFill="background1"/>
          </w:tcPr>
          <w:p w14:paraId="55EA5738" w14:textId="7F997A91"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Aug</w:t>
            </w:r>
            <w:r w:rsidR="00C16CA1">
              <w:rPr>
                <w:rFonts w:ascii="Calibri" w:eastAsiaTheme="minorEastAsia" w:hAnsi="Calibri" w:cs="Calibri"/>
                <w:color w:val="000000" w:themeColor="text1"/>
              </w:rPr>
              <w:t xml:space="preserve"> 20</w:t>
            </w:r>
            <w:r w:rsidRPr="0015517B">
              <w:rPr>
                <w:rFonts w:ascii="Calibri" w:eastAsiaTheme="minorEastAsia" w:hAnsi="Calibri" w:cs="Calibri"/>
                <w:color w:val="000000" w:themeColor="text1"/>
              </w:rPr>
              <w:t>25</w:t>
            </w:r>
          </w:p>
        </w:tc>
      </w:tr>
      <w:tr w:rsidR="00EB5B94" w:rsidRPr="00651189" w14:paraId="14672760" w14:textId="77777777" w:rsidTr="00EB5B94">
        <w:tc>
          <w:tcPr>
            <w:tcW w:w="2127" w:type="dxa"/>
            <w:tcBorders>
              <w:top w:val="single" w:sz="4" w:space="0" w:color="auto"/>
              <w:bottom w:val="single" w:sz="4" w:space="0" w:color="auto"/>
              <w:right w:val="nil"/>
            </w:tcBorders>
            <w:shd w:val="clear" w:color="auto" w:fill="FFFFFF" w:themeFill="background1"/>
            <w:tcMar>
              <w:left w:w="108" w:type="dxa"/>
              <w:right w:w="108" w:type="dxa"/>
            </w:tcMar>
            <w:vAlign w:val="center"/>
          </w:tcPr>
          <w:p w14:paraId="7AE7DE58" w14:textId="77777777" w:rsidR="00EB5B94" w:rsidRPr="0015517B" w:rsidRDefault="00EB5B94" w:rsidP="002F3FA6">
            <w:pPr>
              <w:pStyle w:val="TableText"/>
              <w:rPr>
                <w:rFonts w:ascii="Calibri" w:hAnsi="Calibri" w:cs="Calibri"/>
              </w:rPr>
            </w:pPr>
            <w:r w:rsidRPr="0015517B">
              <w:rPr>
                <w:rFonts w:ascii="Calibri" w:hAnsi="Calibri" w:cs="Calibri"/>
              </w:rPr>
              <w:t>IA4.3 Continually review and update risk information to inform priorities.</w:t>
            </w:r>
          </w:p>
        </w:tc>
        <w:tc>
          <w:tcPr>
            <w:tcW w:w="4110" w:type="dxa"/>
            <w:tcBorders>
              <w:top w:val="single" w:sz="4" w:space="0" w:color="auto"/>
              <w:left w:val="nil"/>
              <w:bottom w:val="single" w:sz="4" w:space="0" w:color="auto"/>
              <w:right w:val="nil"/>
            </w:tcBorders>
            <w:shd w:val="clear" w:color="auto" w:fill="FFFFFF" w:themeFill="background1"/>
            <w:tcMar>
              <w:left w:w="108" w:type="dxa"/>
              <w:right w:w="108" w:type="dxa"/>
            </w:tcMar>
          </w:tcPr>
          <w:p w14:paraId="2C49D161" w14:textId="77777777"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Co-design a national horizon scanning and fore sighting framework. Using the framework, develop a horizon scanning and fore sighting document to test and validate that it produces meaningful insights which can be used to inform prioritisation decisions.</w:t>
            </w:r>
          </w:p>
        </w:tc>
        <w:tc>
          <w:tcPr>
            <w:tcW w:w="2127" w:type="dxa"/>
            <w:tcBorders>
              <w:top w:val="single" w:sz="4" w:space="0" w:color="auto"/>
              <w:left w:val="nil"/>
              <w:bottom w:val="single" w:sz="4" w:space="0" w:color="auto"/>
              <w:right w:val="nil"/>
            </w:tcBorders>
            <w:shd w:val="clear" w:color="auto" w:fill="FFFFFF" w:themeFill="background1"/>
          </w:tcPr>
          <w:p w14:paraId="26F23003" w14:textId="77777777"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Queensland and Commonwealth with input from relevant stakeholders</w:t>
            </w:r>
          </w:p>
        </w:tc>
        <w:tc>
          <w:tcPr>
            <w:tcW w:w="850" w:type="dxa"/>
            <w:tcBorders>
              <w:top w:val="single" w:sz="4" w:space="0" w:color="auto"/>
              <w:left w:val="nil"/>
              <w:bottom w:val="single" w:sz="4" w:space="0" w:color="auto"/>
            </w:tcBorders>
            <w:shd w:val="clear" w:color="auto" w:fill="FFFFFF" w:themeFill="background1"/>
          </w:tcPr>
          <w:p w14:paraId="3428984A" w14:textId="41E75D0C"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Dec</w:t>
            </w:r>
            <w:r w:rsidR="00C16CA1">
              <w:rPr>
                <w:rFonts w:ascii="Calibri" w:eastAsiaTheme="minorEastAsia" w:hAnsi="Calibri" w:cs="Calibri"/>
                <w:color w:val="000000" w:themeColor="text1"/>
              </w:rPr>
              <w:t xml:space="preserve"> 20</w:t>
            </w:r>
            <w:r w:rsidRPr="0015517B">
              <w:rPr>
                <w:rFonts w:ascii="Calibri" w:eastAsiaTheme="minorEastAsia" w:hAnsi="Calibri" w:cs="Calibri"/>
                <w:color w:val="000000" w:themeColor="text1"/>
              </w:rPr>
              <w:t>26</w:t>
            </w:r>
          </w:p>
        </w:tc>
      </w:tr>
      <w:tr w:rsidR="00EB5B94" w:rsidRPr="00651189" w14:paraId="1251CFF6" w14:textId="77777777" w:rsidTr="00EB5B94">
        <w:tc>
          <w:tcPr>
            <w:tcW w:w="2127" w:type="dxa"/>
            <w:vMerge w:val="restart"/>
            <w:tcBorders>
              <w:top w:val="single" w:sz="4" w:space="0" w:color="auto"/>
              <w:right w:val="nil"/>
            </w:tcBorders>
            <w:shd w:val="clear" w:color="auto" w:fill="FFFFFF" w:themeFill="background1"/>
            <w:tcMar>
              <w:left w:w="108" w:type="dxa"/>
              <w:right w:w="108" w:type="dxa"/>
            </w:tcMar>
            <w:vAlign w:val="center"/>
          </w:tcPr>
          <w:p w14:paraId="545E5535" w14:textId="77777777" w:rsidR="00EB5B94" w:rsidRPr="0015517B" w:rsidRDefault="00EB5B94" w:rsidP="002F3FA6">
            <w:pPr>
              <w:pStyle w:val="TableText"/>
              <w:rPr>
                <w:rFonts w:ascii="Calibri" w:hAnsi="Calibri" w:cs="Calibri"/>
              </w:rPr>
            </w:pPr>
            <w:r w:rsidRPr="0015517B">
              <w:rPr>
                <w:rFonts w:ascii="Calibri" w:hAnsi="Calibri" w:cs="Calibri"/>
              </w:rPr>
              <w:t>IA4.4 Actively embed continuous learning.</w:t>
            </w:r>
          </w:p>
        </w:tc>
        <w:tc>
          <w:tcPr>
            <w:tcW w:w="4110" w:type="dxa"/>
            <w:tcBorders>
              <w:top w:val="single" w:sz="4" w:space="0" w:color="auto"/>
              <w:left w:val="nil"/>
              <w:bottom w:val="single" w:sz="4" w:space="0" w:color="auto"/>
              <w:right w:val="nil"/>
            </w:tcBorders>
            <w:shd w:val="clear" w:color="auto" w:fill="FFFFFF" w:themeFill="background1"/>
            <w:tcMar>
              <w:left w:w="108" w:type="dxa"/>
              <w:right w:w="108" w:type="dxa"/>
            </w:tcMar>
          </w:tcPr>
          <w:p w14:paraId="41F7A919" w14:textId="5754278E" w:rsidR="00EB5B94" w:rsidRPr="0015517B" w:rsidRDefault="002733F0" w:rsidP="002F3FA6">
            <w:pPr>
              <w:pStyle w:val="TableText"/>
              <w:rPr>
                <w:rFonts w:ascii="Calibri" w:eastAsiaTheme="minorEastAsia" w:hAnsi="Calibri" w:cs="Calibri"/>
                <w:color w:val="000000" w:themeColor="text1"/>
              </w:rPr>
            </w:pPr>
            <w:r w:rsidRPr="002733F0">
              <w:rPr>
                <w:rFonts w:ascii="Calibri" w:eastAsiaTheme="minorEastAsia" w:hAnsi="Calibri" w:cs="Calibri"/>
                <w:color w:val="000000" w:themeColor="text1"/>
              </w:rPr>
              <w:t xml:space="preserve">See activities under </w:t>
            </w:r>
            <w:r w:rsidR="00BA7A02">
              <w:rPr>
                <w:rFonts w:ascii="Calibri" w:eastAsiaTheme="minorEastAsia" w:hAnsi="Calibri" w:cs="Calibri"/>
                <w:color w:val="000000" w:themeColor="text1"/>
              </w:rPr>
              <w:t>i</w:t>
            </w:r>
            <w:r w:rsidRPr="002733F0">
              <w:rPr>
                <w:rFonts w:ascii="Calibri" w:eastAsiaTheme="minorEastAsia" w:hAnsi="Calibri" w:cs="Calibri"/>
                <w:color w:val="000000" w:themeColor="text1"/>
              </w:rPr>
              <w:t xml:space="preserve">nitial </w:t>
            </w:r>
            <w:r w:rsidR="00BA7A02">
              <w:rPr>
                <w:rFonts w:ascii="Calibri" w:eastAsiaTheme="minorEastAsia" w:hAnsi="Calibri" w:cs="Calibri"/>
                <w:color w:val="000000" w:themeColor="text1"/>
              </w:rPr>
              <w:t>a</w:t>
            </w:r>
            <w:r w:rsidRPr="002733F0">
              <w:rPr>
                <w:rFonts w:ascii="Calibri" w:eastAsiaTheme="minorEastAsia" w:hAnsi="Calibri" w:cs="Calibri"/>
                <w:color w:val="000000" w:themeColor="text1"/>
              </w:rPr>
              <w:t>ctions IA 3.2 and IA3.3, which will provide a foundation for this action. Outcomes of these activities should be considered for extension in a future action plan to support IA4.4.</w:t>
            </w:r>
          </w:p>
        </w:tc>
        <w:tc>
          <w:tcPr>
            <w:tcW w:w="2127" w:type="dxa"/>
            <w:tcBorders>
              <w:top w:val="single" w:sz="4" w:space="0" w:color="auto"/>
              <w:left w:val="nil"/>
              <w:bottom w:val="single" w:sz="4" w:space="0" w:color="auto"/>
              <w:right w:val="nil"/>
            </w:tcBorders>
            <w:shd w:val="clear" w:color="auto" w:fill="FFFFFF" w:themeFill="background1"/>
          </w:tcPr>
          <w:p w14:paraId="551EEB90" w14:textId="77777777"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Commonwealth</w:t>
            </w:r>
          </w:p>
        </w:tc>
        <w:tc>
          <w:tcPr>
            <w:tcW w:w="850" w:type="dxa"/>
            <w:tcBorders>
              <w:top w:val="single" w:sz="4" w:space="0" w:color="auto"/>
              <w:left w:val="nil"/>
              <w:bottom w:val="single" w:sz="4" w:space="0" w:color="auto"/>
            </w:tcBorders>
            <w:shd w:val="clear" w:color="auto" w:fill="FFFFFF" w:themeFill="background1"/>
          </w:tcPr>
          <w:p w14:paraId="1E3FD818" w14:textId="77D29CB3"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Oct</w:t>
            </w:r>
            <w:r w:rsidR="00C16CA1">
              <w:rPr>
                <w:rFonts w:ascii="Calibri" w:eastAsiaTheme="minorEastAsia" w:hAnsi="Calibri" w:cs="Calibri"/>
                <w:color w:val="000000" w:themeColor="text1"/>
              </w:rPr>
              <w:t xml:space="preserve"> 20</w:t>
            </w:r>
            <w:r w:rsidRPr="0015517B">
              <w:rPr>
                <w:rFonts w:ascii="Calibri" w:eastAsiaTheme="minorEastAsia" w:hAnsi="Calibri" w:cs="Calibri"/>
                <w:color w:val="000000" w:themeColor="text1"/>
              </w:rPr>
              <w:t>26</w:t>
            </w:r>
          </w:p>
        </w:tc>
      </w:tr>
      <w:tr w:rsidR="00EB5B94" w:rsidRPr="00651189" w14:paraId="51D6579B" w14:textId="77777777" w:rsidTr="00EB5B94">
        <w:tc>
          <w:tcPr>
            <w:tcW w:w="2127" w:type="dxa"/>
            <w:vMerge/>
            <w:tcBorders>
              <w:bottom w:val="single" w:sz="4" w:space="0" w:color="auto"/>
              <w:right w:val="nil"/>
            </w:tcBorders>
            <w:shd w:val="clear" w:color="auto" w:fill="FFFFFF" w:themeFill="background1"/>
            <w:tcMar>
              <w:left w:w="108" w:type="dxa"/>
              <w:right w:w="108" w:type="dxa"/>
            </w:tcMar>
            <w:vAlign w:val="center"/>
          </w:tcPr>
          <w:p w14:paraId="67A3CF88" w14:textId="77777777" w:rsidR="00EB5B94" w:rsidRPr="0015517B" w:rsidRDefault="00EB5B94" w:rsidP="002F3FA6">
            <w:pPr>
              <w:pStyle w:val="TableText"/>
              <w:rPr>
                <w:rFonts w:ascii="Calibri" w:hAnsi="Calibri" w:cs="Calibri"/>
              </w:rPr>
            </w:pPr>
          </w:p>
        </w:tc>
        <w:tc>
          <w:tcPr>
            <w:tcW w:w="4110" w:type="dxa"/>
            <w:tcBorders>
              <w:top w:val="single" w:sz="4" w:space="0" w:color="auto"/>
              <w:left w:val="nil"/>
              <w:bottom w:val="single" w:sz="4" w:space="0" w:color="auto"/>
              <w:right w:val="nil"/>
            </w:tcBorders>
            <w:shd w:val="clear" w:color="auto" w:fill="FFFFFF" w:themeFill="background1"/>
            <w:tcMar>
              <w:left w:w="108" w:type="dxa"/>
              <w:right w:w="108" w:type="dxa"/>
            </w:tcMar>
          </w:tcPr>
          <w:p w14:paraId="125D72F8" w14:textId="77777777"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Jurisdictions to consider the use of their existing Biosecurity Forums to support continuous learning.</w:t>
            </w:r>
          </w:p>
        </w:tc>
        <w:tc>
          <w:tcPr>
            <w:tcW w:w="2127" w:type="dxa"/>
            <w:tcBorders>
              <w:top w:val="single" w:sz="4" w:space="0" w:color="auto"/>
              <w:left w:val="nil"/>
              <w:bottom w:val="single" w:sz="4" w:space="0" w:color="auto"/>
              <w:right w:val="nil"/>
            </w:tcBorders>
            <w:shd w:val="clear" w:color="auto" w:fill="FFFFFF" w:themeFill="background1"/>
          </w:tcPr>
          <w:p w14:paraId="2610506A" w14:textId="6ED95B5F"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State</w:t>
            </w:r>
            <w:r w:rsidR="00C16CA1">
              <w:rPr>
                <w:rFonts w:ascii="Calibri" w:eastAsiaTheme="minorEastAsia" w:hAnsi="Calibri" w:cs="Calibri"/>
                <w:color w:val="000000" w:themeColor="text1"/>
              </w:rPr>
              <w:t>s</w:t>
            </w:r>
            <w:r w:rsidRPr="0015517B">
              <w:rPr>
                <w:rFonts w:ascii="Calibri" w:eastAsiaTheme="minorEastAsia" w:hAnsi="Calibri" w:cs="Calibri"/>
                <w:color w:val="000000" w:themeColor="text1"/>
              </w:rPr>
              <w:t xml:space="preserve"> and </w:t>
            </w:r>
            <w:r w:rsidR="0022112F">
              <w:rPr>
                <w:rFonts w:ascii="Calibri" w:eastAsiaTheme="minorEastAsia" w:hAnsi="Calibri" w:cs="Calibri"/>
                <w:color w:val="000000" w:themeColor="text1"/>
              </w:rPr>
              <w:t>t</w:t>
            </w:r>
            <w:r w:rsidRPr="0015517B">
              <w:rPr>
                <w:rFonts w:ascii="Calibri" w:eastAsiaTheme="minorEastAsia" w:hAnsi="Calibri" w:cs="Calibri"/>
                <w:color w:val="000000" w:themeColor="text1"/>
              </w:rPr>
              <w:t>erritories</w:t>
            </w:r>
          </w:p>
        </w:tc>
        <w:tc>
          <w:tcPr>
            <w:tcW w:w="850" w:type="dxa"/>
            <w:tcBorders>
              <w:top w:val="single" w:sz="4" w:space="0" w:color="auto"/>
              <w:left w:val="nil"/>
              <w:bottom w:val="single" w:sz="4" w:space="0" w:color="auto"/>
            </w:tcBorders>
            <w:shd w:val="clear" w:color="auto" w:fill="FFFFFF" w:themeFill="background1"/>
          </w:tcPr>
          <w:p w14:paraId="5AE9AE73" w14:textId="331B37FC"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Oct</w:t>
            </w:r>
            <w:r w:rsidR="00C16CA1">
              <w:rPr>
                <w:rFonts w:ascii="Calibri" w:eastAsiaTheme="minorEastAsia" w:hAnsi="Calibri" w:cs="Calibri"/>
                <w:color w:val="000000" w:themeColor="text1"/>
              </w:rPr>
              <w:t xml:space="preserve"> 20</w:t>
            </w:r>
            <w:r w:rsidRPr="0015517B">
              <w:rPr>
                <w:rFonts w:ascii="Calibri" w:eastAsiaTheme="minorEastAsia" w:hAnsi="Calibri" w:cs="Calibri"/>
                <w:color w:val="000000" w:themeColor="text1"/>
              </w:rPr>
              <w:t>26</w:t>
            </w:r>
          </w:p>
        </w:tc>
      </w:tr>
      <w:tr w:rsidR="007B55B3" w:rsidRPr="00651189" w14:paraId="4395CF4F" w14:textId="77777777" w:rsidTr="00EB5B94">
        <w:tc>
          <w:tcPr>
            <w:tcW w:w="2127" w:type="dxa"/>
            <w:vMerge w:val="restart"/>
            <w:tcBorders>
              <w:top w:val="single" w:sz="4" w:space="0" w:color="auto"/>
              <w:right w:val="nil"/>
            </w:tcBorders>
            <w:shd w:val="clear" w:color="auto" w:fill="FFFFFF" w:themeFill="background1"/>
            <w:tcMar>
              <w:left w:w="108" w:type="dxa"/>
              <w:right w:w="108" w:type="dxa"/>
            </w:tcMar>
            <w:vAlign w:val="center"/>
          </w:tcPr>
          <w:p w14:paraId="26EBA961" w14:textId="540128C1" w:rsidR="007B55B3" w:rsidRPr="0015517B" w:rsidRDefault="007B55B3" w:rsidP="007B55B3">
            <w:pPr>
              <w:pStyle w:val="TableText"/>
              <w:rPr>
                <w:rFonts w:ascii="Calibri" w:hAnsi="Calibri" w:cs="Calibri"/>
              </w:rPr>
            </w:pPr>
            <w:r w:rsidRPr="0015517B">
              <w:rPr>
                <w:rFonts w:ascii="Calibri" w:hAnsi="Calibri" w:cs="Calibri"/>
              </w:rPr>
              <w:t>IA4.5 Strengthen traceability arrangements.</w:t>
            </w:r>
          </w:p>
        </w:tc>
        <w:tc>
          <w:tcPr>
            <w:tcW w:w="4110" w:type="dxa"/>
            <w:tcBorders>
              <w:top w:val="single" w:sz="4" w:space="0" w:color="auto"/>
              <w:left w:val="nil"/>
              <w:bottom w:val="single" w:sz="4" w:space="0" w:color="auto"/>
              <w:right w:val="nil"/>
            </w:tcBorders>
            <w:shd w:val="clear" w:color="auto" w:fill="FFFFFF" w:themeFill="background1"/>
            <w:tcMar>
              <w:left w:w="108" w:type="dxa"/>
              <w:right w:w="108" w:type="dxa"/>
            </w:tcMar>
          </w:tcPr>
          <w:p w14:paraId="39CDC06F" w14:textId="3F6C404A" w:rsidR="007B55B3" w:rsidRPr="0015517B" w:rsidRDefault="007B55B3" w:rsidP="007B55B3">
            <w:pPr>
              <w:pStyle w:val="TableText"/>
              <w:rPr>
                <w:rFonts w:ascii="Calibri" w:eastAsiaTheme="minorEastAsia" w:hAnsi="Calibri" w:cs="Calibri"/>
                <w:color w:val="000000" w:themeColor="text1"/>
              </w:rPr>
            </w:pPr>
            <w:r w:rsidRPr="00843F49">
              <w:t xml:space="preserve">Strengthen </w:t>
            </w:r>
            <w:r w:rsidR="00EE7193">
              <w:t xml:space="preserve">national </w:t>
            </w:r>
            <w:r w:rsidRPr="00843F49">
              <w:t>livestock traceability through the implementation of mandatory individual electronic identification (</w:t>
            </w:r>
            <w:proofErr w:type="spellStart"/>
            <w:r w:rsidRPr="00843F49">
              <w:t>eID</w:t>
            </w:r>
            <w:proofErr w:type="spellEnd"/>
            <w:r w:rsidRPr="00843F49">
              <w:t xml:space="preserve">) </w:t>
            </w:r>
            <w:r w:rsidR="00B62D08">
              <w:t>for</w:t>
            </w:r>
            <w:r w:rsidRPr="00843F49">
              <w:t xml:space="preserve"> sheep and goats.</w:t>
            </w:r>
          </w:p>
        </w:tc>
        <w:tc>
          <w:tcPr>
            <w:tcW w:w="2127" w:type="dxa"/>
            <w:tcBorders>
              <w:top w:val="single" w:sz="4" w:space="0" w:color="auto"/>
              <w:left w:val="nil"/>
              <w:bottom w:val="single" w:sz="4" w:space="0" w:color="auto"/>
              <w:right w:val="nil"/>
            </w:tcBorders>
            <w:shd w:val="clear" w:color="auto" w:fill="FFFFFF" w:themeFill="background1"/>
          </w:tcPr>
          <w:p w14:paraId="255C4621" w14:textId="4962FE7D" w:rsidR="007B55B3" w:rsidRPr="00CA1003" w:rsidRDefault="007B55B3" w:rsidP="007B55B3">
            <w:pPr>
              <w:pStyle w:val="TableText"/>
              <w:rPr>
                <w:rFonts w:ascii="Calibri" w:eastAsiaTheme="minorEastAsia" w:hAnsi="Calibri" w:cs="Calibri"/>
                <w:color w:val="000000" w:themeColor="text1"/>
              </w:rPr>
            </w:pPr>
            <w:r w:rsidRPr="00CA1003">
              <w:t>Commonwealth</w:t>
            </w:r>
            <w:r w:rsidR="008B2AE2" w:rsidRPr="00CA1003">
              <w:t xml:space="preserve"> with input from states and territories and relevant stakeholders</w:t>
            </w:r>
          </w:p>
        </w:tc>
        <w:tc>
          <w:tcPr>
            <w:tcW w:w="850" w:type="dxa"/>
            <w:tcBorders>
              <w:top w:val="single" w:sz="4" w:space="0" w:color="auto"/>
              <w:left w:val="nil"/>
              <w:bottom w:val="single" w:sz="4" w:space="0" w:color="auto"/>
            </w:tcBorders>
            <w:shd w:val="clear" w:color="auto" w:fill="FFFFFF" w:themeFill="background1"/>
          </w:tcPr>
          <w:p w14:paraId="5FFB37BA" w14:textId="08E2712B" w:rsidR="007B55B3" w:rsidRPr="0015517B" w:rsidRDefault="007B55B3" w:rsidP="007B55B3">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Mar</w:t>
            </w:r>
            <w:r w:rsidR="00C16CA1">
              <w:rPr>
                <w:rFonts w:ascii="Calibri" w:eastAsiaTheme="minorEastAsia" w:hAnsi="Calibri" w:cs="Calibri"/>
                <w:color w:val="000000" w:themeColor="text1"/>
              </w:rPr>
              <w:t xml:space="preserve"> 20</w:t>
            </w:r>
            <w:r w:rsidRPr="0015517B">
              <w:rPr>
                <w:rFonts w:ascii="Calibri" w:eastAsiaTheme="minorEastAsia" w:hAnsi="Calibri" w:cs="Calibri"/>
                <w:color w:val="000000" w:themeColor="text1"/>
              </w:rPr>
              <w:t>25</w:t>
            </w:r>
          </w:p>
        </w:tc>
      </w:tr>
      <w:tr w:rsidR="007B55B3" w:rsidRPr="00651189" w14:paraId="2F36E9A0" w14:textId="77777777" w:rsidTr="00EB5B94">
        <w:tc>
          <w:tcPr>
            <w:tcW w:w="2127" w:type="dxa"/>
            <w:vMerge/>
            <w:tcBorders>
              <w:right w:val="nil"/>
            </w:tcBorders>
            <w:shd w:val="clear" w:color="auto" w:fill="FFFFFF" w:themeFill="background1"/>
            <w:tcMar>
              <w:left w:w="108" w:type="dxa"/>
              <w:right w:w="108" w:type="dxa"/>
            </w:tcMar>
            <w:vAlign w:val="center"/>
          </w:tcPr>
          <w:p w14:paraId="653EE363" w14:textId="77777777" w:rsidR="007B55B3" w:rsidRPr="0015517B" w:rsidRDefault="007B55B3" w:rsidP="007B55B3">
            <w:pPr>
              <w:pStyle w:val="TableText"/>
              <w:rPr>
                <w:rFonts w:ascii="Calibri" w:hAnsi="Calibri" w:cs="Calibri"/>
              </w:rPr>
            </w:pPr>
          </w:p>
        </w:tc>
        <w:tc>
          <w:tcPr>
            <w:tcW w:w="4110" w:type="dxa"/>
            <w:tcBorders>
              <w:top w:val="single" w:sz="4" w:space="0" w:color="auto"/>
              <w:left w:val="nil"/>
              <w:bottom w:val="single" w:sz="4" w:space="0" w:color="auto"/>
              <w:right w:val="nil"/>
            </w:tcBorders>
            <w:shd w:val="clear" w:color="auto" w:fill="FFFFFF" w:themeFill="background1"/>
            <w:tcMar>
              <w:left w:w="108" w:type="dxa"/>
              <w:right w:w="108" w:type="dxa"/>
            </w:tcMar>
          </w:tcPr>
          <w:p w14:paraId="38A63710" w14:textId="25B351D8" w:rsidR="007B55B3" w:rsidRPr="0015517B" w:rsidRDefault="007B55B3" w:rsidP="007B55B3">
            <w:pPr>
              <w:pStyle w:val="TableText"/>
              <w:rPr>
                <w:rFonts w:ascii="Calibri" w:eastAsiaTheme="minorEastAsia" w:hAnsi="Calibri" w:cs="Calibri"/>
                <w:color w:val="000000" w:themeColor="text1"/>
              </w:rPr>
            </w:pPr>
            <w:r w:rsidRPr="00843F49">
              <w:t>Conduct an audit of the Australian Agricultural Traceability Alliance and Australian Agricultural Traceability Governance Group processes to identify opportunities for strengthening traceability arrangements.</w:t>
            </w:r>
          </w:p>
        </w:tc>
        <w:tc>
          <w:tcPr>
            <w:tcW w:w="2127" w:type="dxa"/>
            <w:tcBorders>
              <w:top w:val="single" w:sz="4" w:space="0" w:color="auto"/>
              <w:left w:val="nil"/>
              <w:bottom w:val="single" w:sz="4" w:space="0" w:color="auto"/>
              <w:right w:val="nil"/>
            </w:tcBorders>
            <w:shd w:val="clear" w:color="auto" w:fill="FFFFFF" w:themeFill="background1"/>
          </w:tcPr>
          <w:p w14:paraId="5B9B4271" w14:textId="199BBDDC" w:rsidR="007B55B3" w:rsidRPr="0015517B" w:rsidRDefault="007B55B3" w:rsidP="007B55B3">
            <w:pPr>
              <w:pStyle w:val="TableText"/>
              <w:rPr>
                <w:rFonts w:ascii="Calibri" w:eastAsiaTheme="minorEastAsia" w:hAnsi="Calibri" w:cs="Calibri"/>
                <w:color w:val="000000" w:themeColor="text1"/>
              </w:rPr>
            </w:pPr>
            <w:r w:rsidRPr="00843F49">
              <w:t>Commonwealth with input from relevant stakeholders</w:t>
            </w:r>
          </w:p>
        </w:tc>
        <w:tc>
          <w:tcPr>
            <w:tcW w:w="850" w:type="dxa"/>
            <w:tcBorders>
              <w:top w:val="single" w:sz="4" w:space="0" w:color="auto"/>
              <w:left w:val="nil"/>
              <w:bottom w:val="single" w:sz="4" w:space="0" w:color="auto"/>
            </w:tcBorders>
            <w:shd w:val="clear" w:color="auto" w:fill="FFFFFF" w:themeFill="background1"/>
          </w:tcPr>
          <w:p w14:paraId="6E50DCE3" w14:textId="16F4E617" w:rsidR="007B55B3" w:rsidRPr="0015517B" w:rsidRDefault="007B55B3" w:rsidP="007B55B3">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Jan</w:t>
            </w:r>
            <w:r w:rsidR="00C16CA1">
              <w:rPr>
                <w:rFonts w:ascii="Calibri" w:eastAsiaTheme="minorEastAsia" w:hAnsi="Calibri" w:cs="Calibri"/>
                <w:color w:val="000000" w:themeColor="text1"/>
              </w:rPr>
              <w:t xml:space="preserve"> 20</w:t>
            </w:r>
            <w:r w:rsidRPr="0015517B">
              <w:rPr>
                <w:rFonts w:ascii="Calibri" w:eastAsiaTheme="minorEastAsia" w:hAnsi="Calibri" w:cs="Calibri"/>
                <w:color w:val="000000" w:themeColor="text1"/>
              </w:rPr>
              <w:t>25</w:t>
            </w:r>
          </w:p>
        </w:tc>
      </w:tr>
      <w:tr w:rsidR="007B55B3" w:rsidRPr="00651189" w14:paraId="4F5A2D55" w14:textId="77777777" w:rsidTr="00EB5B94">
        <w:tc>
          <w:tcPr>
            <w:tcW w:w="2127" w:type="dxa"/>
            <w:vMerge/>
            <w:tcBorders>
              <w:right w:val="nil"/>
            </w:tcBorders>
            <w:shd w:val="clear" w:color="auto" w:fill="FFFFFF" w:themeFill="background1"/>
            <w:tcMar>
              <w:left w:w="108" w:type="dxa"/>
              <w:right w:w="108" w:type="dxa"/>
            </w:tcMar>
            <w:vAlign w:val="center"/>
          </w:tcPr>
          <w:p w14:paraId="68AD6E06" w14:textId="77777777" w:rsidR="007B55B3" w:rsidRPr="0015517B" w:rsidRDefault="007B55B3" w:rsidP="007B55B3">
            <w:pPr>
              <w:pStyle w:val="TableText"/>
              <w:rPr>
                <w:rFonts w:ascii="Calibri" w:hAnsi="Calibri" w:cs="Calibri"/>
              </w:rPr>
            </w:pPr>
          </w:p>
        </w:tc>
        <w:tc>
          <w:tcPr>
            <w:tcW w:w="4110" w:type="dxa"/>
            <w:tcBorders>
              <w:top w:val="single" w:sz="4" w:space="0" w:color="auto"/>
              <w:left w:val="nil"/>
              <w:bottom w:val="single" w:sz="4" w:space="0" w:color="auto"/>
              <w:right w:val="nil"/>
            </w:tcBorders>
            <w:shd w:val="clear" w:color="auto" w:fill="FFFFFF" w:themeFill="background1"/>
            <w:tcMar>
              <w:left w:w="108" w:type="dxa"/>
              <w:right w:w="108" w:type="dxa"/>
            </w:tcMar>
          </w:tcPr>
          <w:p w14:paraId="6062C048" w14:textId="4140EA3E" w:rsidR="007B55B3" w:rsidRPr="0015517B" w:rsidRDefault="007B55B3" w:rsidP="007B55B3">
            <w:pPr>
              <w:pStyle w:val="TableText"/>
              <w:rPr>
                <w:rFonts w:ascii="Calibri" w:eastAsiaTheme="minorEastAsia" w:hAnsi="Calibri" w:cs="Calibri"/>
                <w:color w:val="000000" w:themeColor="text1"/>
              </w:rPr>
            </w:pPr>
            <w:r w:rsidRPr="00843F49">
              <w:t xml:space="preserve">Support the introduction and maintenance of a national horse traceability system in Australia underpinned by movement recording used in conjunction with state and territory </w:t>
            </w:r>
            <w:r w:rsidR="007D09E5">
              <w:t>Property Identification Code</w:t>
            </w:r>
            <w:r w:rsidRPr="00843F49">
              <w:t xml:space="preserve"> systems.</w:t>
            </w:r>
          </w:p>
        </w:tc>
        <w:tc>
          <w:tcPr>
            <w:tcW w:w="2127" w:type="dxa"/>
            <w:tcBorders>
              <w:top w:val="single" w:sz="4" w:space="0" w:color="auto"/>
              <w:left w:val="nil"/>
              <w:bottom w:val="single" w:sz="4" w:space="0" w:color="auto"/>
              <w:right w:val="nil"/>
            </w:tcBorders>
            <w:shd w:val="clear" w:color="auto" w:fill="FFFFFF" w:themeFill="background1"/>
          </w:tcPr>
          <w:p w14:paraId="47777DC5" w14:textId="02C1E44A" w:rsidR="007B55B3" w:rsidRPr="0015517B" w:rsidRDefault="007B55B3" w:rsidP="007B55B3">
            <w:pPr>
              <w:pStyle w:val="TableText"/>
              <w:rPr>
                <w:rFonts w:ascii="Calibri" w:eastAsiaTheme="minorEastAsia" w:hAnsi="Calibri" w:cs="Calibri"/>
                <w:color w:val="000000" w:themeColor="text1"/>
              </w:rPr>
            </w:pPr>
            <w:r w:rsidRPr="00843F49">
              <w:t>Victoria and Commonwealth with input from relevant stakeholders</w:t>
            </w:r>
          </w:p>
        </w:tc>
        <w:tc>
          <w:tcPr>
            <w:tcW w:w="850" w:type="dxa"/>
            <w:tcBorders>
              <w:top w:val="single" w:sz="4" w:space="0" w:color="auto"/>
              <w:left w:val="nil"/>
              <w:bottom w:val="single" w:sz="4" w:space="0" w:color="auto"/>
            </w:tcBorders>
            <w:shd w:val="clear" w:color="auto" w:fill="FFFFFF" w:themeFill="background1"/>
          </w:tcPr>
          <w:p w14:paraId="5C449D7A" w14:textId="23E5A537" w:rsidR="007B55B3" w:rsidRPr="0015517B" w:rsidRDefault="007B55B3" w:rsidP="007B55B3">
            <w:pPr>
              <w:pStyle w:val="TableText"/>
              <w:rPr>
                <w:rFonts w:ascii="Calibri" w:eastAsiaTheme="minorEastAsia" w:hAnsi="Calibri" w:cs="Calibri"/>
                <w:color w:val="000000" w:themeColor="text1"/>
              </w:rPr>
            </w:pPr>
            <w:r>
              <w:rPr>
                <w:rFonts w:ascii="Calibri" w:eastAsiaTheme="minorEastAsia" w:hAnsi="Calibri" w:cs="Calibri"/>
                <w:color w:val="000000" w:themeColor="text1"/>
              </w:rPr>
              <w:t>Dec</w:t>
            </w:r>
            <w:r w:rsidR="00C16CA1">
              <w:rPr>
                <w:rFonts w:ascii="Calibri" w:eastAsiaTheme="minorEastAsia" w:hAnsi="Calibri" w:cs="Calibri"/>
                <w:color w:val="000000" w:themeColor="text1"/>
              </w:rPr>
              <w:t xml:space="preserve"> 20</w:t>
            </w:r>
            <w:r>
              <w:rPr>
                <w:rFonts w:ascii="Calibri" w:eastAsiaTheme="minorEastAsia" w:hAnsi="Calibri" w:cs="Calibri"/>
                <w:color w:val="000000" w:themeColor="text1"/>
              </w:rPr>
              <w:t>24</w:t>
            </w:r>
          </w:p>
        </w:tc>
      </w:tr>
      <w:tr w:rsidR="007B55B3" w:rsidRPr="00651189" w14:paraId="7DFB9A3F" w14:textId="77777777" w:rsidTr="00EB5B94">
        <w:tc>
          <w:tcPr>
            <w:tcW w:w="2127" w:type="dxa"/>
            <w:vMerge/>
            <w:tcBorders>
              <w:bottom w:val="single" w:sz="4" w:space="0" w:color="auto"/>
              <w:right w:val="nil"/>
            </w:tcBorders>
            <w:shd w:val="clear" w:color="auto" w:fill="FFFFFF" w:themeFill="background1"/>
            <w:tcMar>
              <w:left w:w="108" w:type="dxa"/>
              <w:right w:w="108" w:type="dxa"/>
            </w:tcMar>
            <w:vAlign w:val="center"/>
          </w:tcPr>
          <w:p w14:paraId="5189F1D1" w14:textId="77777777" w:rsidR="007B55B3" w:rsidRPr="0015517B" w:rsidRDefault="007B55B3" w:rsidP="007B55B3">
            <w:pPr>
              <w:pStyle w:val="TableText"/>
              <w:rPr>
                <w:rFonts w:ascii="Calibri" w:hAnsi="Calibri" w:cs="Calibri"/>
              </w:rPr>
            </w:pPr>
          </w:p>
        </w:tc>
        <w:tc>
          <w:tcPr>
            <w:tcW w:w="4110" w:type="dxa"/>
            <w:tcBorders>
              <w:top w:val="single" w:sz="4" w:space="0" w:color="auto"/>
              <w:left w:val="nil"/>
              <w:bottom w:val="single" w:sz="4" w:space="0" w:color="auto"/>
              <w:right w:val="nil"/>
            </w:tcBorders>
            <w:shd w:val="clear" w:color="auto" w:fill="FFFFFF" w:themeFill="background1"/>
            <w:tcMar>
              <w:left w:w="108" w:type="dxa"/>
              <w:right w:w="108" w:type="dxa"/>
            </w:tcMar>
          </w:tcPr>
          <w:p w14:paraId="340EB3E5" w14:textId="0422AD56" w:rsidR="007B55B3" w:rsidRPr="0015517B" w:rsidRDefault="007B55B3" w:rsidP="007B55B3">
            <w:pPr>
              <w:pStyle w:val="TableText"/>
              <w:rPr>
                <w:rFonts w:ascii="Calibri" w:eastAsiaTheme="minorEastAsia" w:hAnsi="Calibri" w:cs="Calibri"/>
                <w:color w:val="000000" w:themeColor="text1"/>
              </w:rPr>
            </w:pPr>
            <w:r w:rsidRPr="00843F49">
              <w:t>Strengthen plant traceability through the establishment of nationally consistent arrangements to identify, locate and provide information about any property used for agricultural plant production.</w:t>
            </w:r>
            <w:r w:rsidR="00292118">
              <w:t xml:space="preserve"> </w:t>
            </w:r>
            <w:r w:rsidR="00292118" w:rsidRPr="00292118">
              <w:t>Overseen by the Plant Property Identification (PPID) Governance Committee.</w:t>
            </w:r>
          </w:p>
        </w:tc>
        <w:tc>
          <w:tcPr>
            <w:tcW w:w="2127" w:type="dxa"/>
            <w:tcBorders>
              <w:top w:val="single" w:sz="4" w:space="0" w:color="auto"/>
              <w:left w:val="nil"/>
              <w:bottom w:val="single" w:sz="4" w:space="0" w:color="auto"/>
              <w:right w:val="nil"/>
            </w:tcBorders>
            <w:shd w:val="clear" w:color="auto" w:fill="FFFFFF" w:themeFill="background1"/>
          </w:tcPr>
          <w:p w14:paraId="33183148" w14:textId="3DBEEAD9" w:rsidR="007B55B3" w:rsidRPr="0015517B" w:rsidRDefault="007B55B3" w:rsidP="007B55B3">
            <w:pPr>
              <w:pStyle w:val="TableText"/>
              <w:rPr>
                <w:rFonts w:ascii="Calibri" w:eastAsiaTheme="minorEastAsia" w:hAnsi="Calibri" w:cs="Calibri"/>
                <w:color w:val="000000" w:themeColor="text1"/>
              </w:rPr>
            </w:pPr>
            <w:r w:rsidRPr="00843F49">
              <w:t>Victoria, New South Wales and Commonwealth with input from relevant stakeholders</w:t>
            </w:r>
          </w:p>
        </w:tc>
        <w:tc>
          <w:tcPr>
            <w:tcW w:w="850" w:type="dxa"/>
            <w:tcBorders>
              <w:top w:val="single" w:sz="4" w:space="0" w:color="auto"/>
              <w:left w:val="nil"/>
              <w:bottom w:val="single" w:sz="4" w:space="0" w:color="auto"/>
            </w:tcBorders>
            <w:shd w:val="clear" w:color="auto" w:fill="FFFFFF" w:themeFill="background1"/>
          </w:tcPr>
          <w:p w14:paraId="42276FDF" w14:textId="6C60B531" w:rsidR="007B55B3" w:rsidRPr="0015517B" w:rsidRDefault="007B55B3" w:rsidP="007B55B3">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Dec</w:t>
            </w:r>
            <w:r w:rsidR="00C16CA1">
              <w:rPr>
                <w:rFonts w:ascii="Calibri" w:eastAsiaTheme="minorEastAsia" w:hAnsi="Calibri" w:cs="Calibri"/>
                <w:color w:val="000000" w:themeColor="text1"/>
              </w:rPr>
              <w:t xml:space="preserve"> 20</w:t>
            </w:r>
            <w:r w:rsidRPr="0015517B">
              <w:rPr>
                <w:rFonts w:ascii="Calibri" w:eastAsiaTheme="minorEastAsia" w:hAnsi="Calibri" w:cs="Calibri"/>
                <w:color w:val="000000" w:themeColor="text1"/>
              </w:rPr>
              <w:t>2</w:t>
            </w:r>
            <w:r>
              <w:rPr>
                <w:rFonts w:ascii="Calibri" w:eastAsiaTheme="minorEastAsia" w:hAnsi="Calibri" w:cs="Calibri"/>
                <w:color w:val="000000" w:themeColor="text1"/>
              </w:rPr>
              <w:t>6</w:t>
            </w:r>
          </w:p>
        </w:tc>
      </w:tr>
      <w:tr w:rsidR="00EB5B94" w:rsidRPr="00651189" w14:paraId="66589F3C" w14:textId="77777777" w:rsidTr="00EB5B94">
        <w:tc>
          <w:tcPr>
            <w:tcW w:w="2127" w:type="dxa"/>
            <w:vMerge w:val="restart"/>
            <w:tcBorders>
              <w:top w:val="single" w:sz="4" w:space="0" w:color="auto"/>
              <w:right w:val="nil"/>
            </w:tcBorders>
            <w:shd w:val="clear" w:color="auto" w:fill="FFFFFF" w:themeFill="background1"/>
            <w:tcMar>
              <w:left w:w="108" w:type="dxa"/>
              <w:right w:w="108" w:type="dxa"/>
            </w:tcMar>
            <w:vAlign w:val="center"/>
          </w:tcPr>
          <w:p w14:paraId="385953BB" w14:textId="77777777" w:rsidR="00EB5B94" w:rsidRPr="0015517B" w:rsidRDefault="00EB5B94" w:rsidP="002F3FA6">
            <w:pPr>
              <w:pStyle w:val="TableText"/>
              <w:rPr>
                <w:rFonts w:ascii="Calibri" w:hAnsi="Calibri" w:cs="Calibri"/>
              </w:rPr>
            </w:pPr>
            <w:r w:rsidRPr="0015517B">
              <w:rPr>
                <w:rFonts w:ascii="Calibri" w:hAnsi="Calibri" w:cs="Calibri"/>
              </w:rPr>
              <w:lastRenderedPageBreak/>
              <w:t>IA4.6 Enhance our national surveillance and early detection arrangements.</w:t>
            </w:r>
          </w:p>
        </w:tc>
        <w:tc>
          <w:tcPr>
            <w:tcW w:w="4110" w:type="dxa"/>
            <w:tcBorders>
              <w:top w:val="single" w:sz="4" w:space="0" w:color="auto"/>
              <w:left w:val="nil"/>
              <w:bottom w:val="single" w:sz="4" w:space="0" w:color="auto"/>
              <w:right w:val="nil"/>
            </w:tcBorders>
            <w:shd w:val="clear" w:color="auto" w:fill="FFFFFF" w:themeFill="background1"/>
            <w:tcMar>
              <w:left w:w="108" w:type="dxa"/>
              <w:right w:w="108" w:type="dxa"/>
            </w:tcMar>
          </w:tcPr>
          <w:p w14:paraId="55EDF5B0" w14:textId="73C86634"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All jurisdictions and other stakeholders continue to invest in next generation surveillance platforms, including emerging artificial intelligence technologies, that could easily be adapted to surveillance and detection for example, the national grain initiative. Consideration will be given to ensuring the platforms meet international standards and trade requirements and end user needs will be considered in the design princip</w:t>
            </w:r>
            <w:r w:rsidR="00BD70E3">
              <w:rPr>
                <w:rFonts w:ascii="Calibri" w:eastAsiaTheme="minorEastAsia" w:hAnsi="Calibri" w:cs="Calibri"/>
                <w:color w:val="000000" w:themeColor="text1"/>
              </w:rPr>
              <w:t>les</w:t>
            </w:r>
            <w:r w:rsidRPr="0015517B">
              <w:rPr>
                <w:rFonts w:ascii="Calibri" w:eastAsiaTheme="minorEastAsia" w:hAnsi="Calibri" w:cs="Calibri"/>
                <w:color w:val="000000" w:themeColor="text1"/>
              </w:rPr>
              <w:t>. A community of practice will support this work.</w:t>
            </w:r>
          </w:p>
        </w:tc>
        <w:tc>
          <w:tcPr>
            <w:tcW w:w="2127" w:type="dxa"/>
            <w:tcBorders>
              <w:top w:val="single" w:sz="4" w:space="0" w:color="auto"/>
              <w:left w:val="nil"/>
              <w:bottom w:val="single" w:sz="4" w:space="0" w:color="auto"/>
              <w:right w:val="nil"/>
            </w:tcBorders>
            <w:shd w:val="clear" w:color="auto" w:fill="FFFFFF" w:themeFill="background1"/>
          </w:tcPr>
          <w:p w14:paraId="24F74917" w14:textId="3BF836AD"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NSW and CSIRO</w:t>
            </w:r>
          </w:p>
        </w:tc>
        <w:tc>
          <w:tcPr>
            <w:tcW w:w="850" w:type="dxa"/>
            <w:tcBorders>
              <w:top w:val="single" w:sz="4" w:space="0" w:color="auto"/>
              <w:left w:val="nil"/>
              <w:bottom w:val="single" w:sz="4" w:space="0" w:color="auto"/>
            </w:tcBorders>
            <w:shd w:val="clear" w:color="auto" w:fill="FFFFFF" w:themeFill="background1"/>
          </w:tcPr>
          <w:p w14:paraId="3DBBBD44" w14:textId="77A8392C"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Dec</w:t>
            </w:r>
            <w:r w:rsidR="00071026">
              <w:rPr>
                <w:rFonts w:ascii="Calibri" w:eastAsiaTheme="minorEastAsia" w:hAnsi="Calibri" w:cs="Calibri"/>
                <w:color w:val="000000" w:themeColor="text1"/>
              </w:rPr>
              <w:t xml:space="preserve"> 20</w:t>
            </w:r>
            <w:r w:rsidRPr="0015517B">
              <w:rPr>
                <w:rFonts w:ascii="Calibri" w:eastAsiaTheme="minorEastAsia" w:hAnsi="Calibri" w:cs="Calibri"/>
                <w:color w:val="000000" w:themeColor="text1"/>
              </w:rPr>
              <w:t>26</w:t>
            </w:r>
          </w:p>
        </w:tc>
      </w:tr>
      <w:tr w:rsidR="00EB5B94" w:rsidRPr="00651189" w14:paraId="4D1A40D3" w14:textId="77777777" w:rsidTr="00EB5B94">
        <w:tc>
          <w:tcPr>
            <w:tcW w:w="2127" w:type="dxa"/>
            <w:vMerge/>
            <w:tcBorders>
              <w:bottom w:val="single" w:sz="4" w:space="0" w:color="auto"/>
              <w:right w:val="nil"/>
            </w:tcBorders>
            <w:shd w:val="clear" w:color="auto" w:fill="FFFFFF" w:themeFill="background1"/>
            <w:tcMar>
              <w:left w:w="108" w:type="dxa"/>
              <w:right w:w="108" w:type="dxa"/>
            </w:tcMar>
            <w:vAlign w:val="center"/>
          </w:tcPr>
          <w:p w14:paraId="70E1B036" w14:textId="77777777" w:rsidR="00EB5B94" w:rsidRPr="0015517B" w:rsidRDefault="00EB5B94" w:rsidP="002F3FA6">
            <w:pPr>
              <w:pStyle w:val="TableText"/>
              <w:rPr>
                <w:rFonts w:ascii="Calibri" w:hAnsi="Calibri" w:cs="Calibri"/>
              </w:rPr>
            </w:pPr>
          </w:p>
        </w:tc>
        <w:tc>
          <w:tcPr>
            <w:tcW w:w="4110" w:type="dxa"/>
            <w:tcBorders>
              <w:top w:val="single" w:sz="4" w:space="0" w:color="auto"/>
              <w:left w:val="nil"/>
              <w:bottom w:val="single" w:sz="4" w:space="0" w:color="auto"/>
              <w:right w:val="nil"/>
            </w:tcBorders>
            <w:shd w:val="clear" w:color="auto" w:fill="FFFFFF" w:themeFill="background1"/>
            <w:tcMar>
              <w:left w:w="108" w:type="dxa"/>
              <w:right w:w="108" w:type="dxa"/>
            </w:tcMar>
          </w:tcPr>
          <w:p w14:paraId="1D320BA5" w14:textId="12AEA58C"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 xml:space="preserve">Advance region-based biosecurity preparedness planning. The Northern Australia Quarantine Strategy is implementing enhanced Emergency Animal Disease surveillance and preparedness activities in collaboration with the 3 Northern Australia jurisdictions and Northern Australia stakeholders. </w:t>
            </w:r>
            <w:r w:rsidR="007B55B3">
              <w:rPr>
                <w:rFonts w:ascii="Calibri" w:eastAsiaTheme="minorEastAsia" w:hAnsi="Calibri" w:cs="Calibri"/>
                <w:color w:val="000000" w:themeColor="text1"/>
              </w:rPr>
              <w:t>R</w:t>
            </w:r>
            <w:r w:rsidRPr="0015517B">
              <w:rPr>
                <w:rFonts w:ascii="Calibri" w:eastAsiaTheme="minorEastAsia" w:hAnsi="Calibri" w:cs="Calibri"/>
                <w:color w:val="000000" w:themeColor="text1"/>
              </w:rPr>
              <w:t xml:space="preserve">esults of this preliminary work </w:t>
            </w:r>
            <w:r w:rsidR="007B55B3">
              <w:rPr>
                <w:rFonts w:ascii="Calibri" w:eastAsiaTheme="minorEastAsia" w:hAnsi="Calibri" w:cs="Calibri"/>
                <w:color w:val="000000" w:themeColor="text1"/>
              </w:rPr>
              <w:t>will</w:t>
            </w:r>
            <w:r w:rsidRPr="0015517B">
              <w:rPr>
                <w:rFonts w:ascii="Calibri" w:eastAsiaTheme="minorEastAsia" w:hAnsi="Calibri" w:cs="Calibri"/>
                <w:color w:val="000000" w:themeColor="text1"/>
              </w:rPr>
              <w:t xml:space="preserve"> determine opportunities</w:t>
            </w:r>
            <w:r w:rsidR="007B55B3">
              <w:rPr>
                <w:rFonts w:ascii="Calibri" w:eastAsiaTheme="minorEastAsia" w:hAnsi="Calibri" w:cs="Calibri"/>
                <w:color w:val="000000" w:themeColor="text1"/>
              </w:rPr>
              <w:t xml:space="preserve"> and </w:t>
            </w:r>
            <w:r w:rsidRPr="0015517B">
              <w:rPr>
                <w:rFonts w:ascii="Calibri" w:eastAsiaTheme="minorEastAsia" w:hAnsi="Calibri" w:cs="Calibri"/>
                <w:color w:val="000000" w:themeColor="text1"/>
              </w:rPr>
              <w:t>next steps for other states.</w:t>
            </w:r>
          </w:p>
        </w:tc>
        <w:tc>
          <w:tcPr>
            <w:tcW w:w="2127" w:type="dxa"/>
            <w:tcBorders>
              <w:top w:val="single" w:sz="4" w:space="0" w:color="auto"/>
              <w:left w:val="nil"/>
              <w:bottom w:val="single" w:sz="4" w:space="0" w:color="auto"/>
              <w:right w:val="nil"/>
            </w:tcBorders>
            <w:shd w:val="clear" w:color="auto" w:fill="FFFFFF" w:themeFill="background1"/>
          </w:tcPr>
          <w:p w14:paraId="23F56E84" w14:textId="77777777"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Commonwealth, Queensland, Northern Territory and Western Australia</w:t>
            </w:r>
          </w:p>
        </w:tc>
        <w:tc>
          <w:tcPr>
            <w:tcW w:w="850" w:type="dxa"/>
            <w:tcBorders>
              <w:top w:val="single" w:sz="4" w:space="0" w:color="auto"/>
              <w:left w:val="nil"/>
              <w:bottom w:val="single" w:sz="4" w:space="0" w:color="auto"/>
            </w:tcBorders>
            <w:shd w:val="clear" w:color="auto" w:fill="FFFFFF" w:themeFill="background1"/>
          </w:tcPr>
          <w:p w14:paraId="199D92ED" w14:textId="48BB81E2"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Jun</w:t>
            </w:r>
            <w:r w:rsidR="00071026">
              <w:rPr>
                <w:rFonts w:ascii="Calibri" w:eastAsiaTheme="minorEastAsia" w:hAnsi="Calibri" w:cs="Calibri"/>
                <w:color w:val="000000" w:themeColor="text1"/>
              </w:rPr>
              <w:t xml:space="preserve"> 20</w:t>
            </w:r>
            <w:r w:rsidRPr="0015517B">
              <w:rPr>
                <w:rFonts w:ascii="Calibri" w:eastAsiaTheme="minorEastAsia" w:hAnsi="Calibri" w:cs="Calibri"/>
                <w:color w:val="000000" w:themeColor="text1"/>
              </w:rPr>
              <w:t>25</w:t>
            </w:r>
          </w:p>
        </w:tc>
      </w:tr>
      <w:tr w:rsidR="00EB5B94" w:rsidRPr="00651189" w14:paraId="1B307954" w14:textId="77777777" w:rsidTr="00EB5B94">
        <w:tc>
          <w:tcPr>
            <w:tcW w:w="2127" w:type="dxa"/>
            <w:tcBorders>
              <w:top w:val="single" w:sz="4" w:space="0" w:color="auto"/>
              <w:bottom w:val="single" w:sz="4" w:space="0" w:color="auto"/>
              <w:right w:val="nil"/>
            </w:tcBorders>
            <w:shd w:val="clear" w:color="auto" w:fill="FFFFFF" w:themeFill="background1"/>
            <w:tcMar>
              <w:left w:w="108" w:type="dxa"/>
              <w:right w:w="108" w:type="dxa"/>
            </w:tcMar>
            <w:vAlign w:val="center"/>
          </w:tcPr>
          <w:p w14:paraId="0335B75F" w14:textId="77777777" w:rsidR="00EB5B94" w:rsidRPr="0015517B" w:rsidRDefault="00EB5B94" w:rsidP="002F3FA6">
            <w:pPr>
              <w:pStyle w:val="TableText"/>
              <w:rPr>
                <w:rFonts w:ascii="Calibri" w:hAnsi="Calibri" w:cs="Calibri"/>
              </w:rPr>
            </w:pPr>
            <w:r w:rsidRPr="0015517B">
              <w:rPr>
                <w:rFonts w:ascii="Calibri" w:hAnsi="Calibri" w:cs="Calibri"/>
              </w:rPr>
              <w:t>IA4.7 Evolve our national information management framework.</w:t>
            </w:r>
          </w:p>
        </w:tc>
        <w:tc>
          <w:tcPr>
            <w:tcW w:w="4110" w:type="dxa"/>
            <w:tcBorders>
              <w:top w:val="single" w:sz="4" w:space="0" w:color="auto"/>
              <w:left w:val="nil"/>
              <w:bottom w:val="single" w:sz="4" w:space="0" w:color="auto"/>
              <w:right w:val="nil"/>
            </w:tcBorders>
            <w:shd w:val="clear" w:color="auto" w:fill="FFFFFF" w:themeFill="background1"/>
            <w:tcMar>
              <w:left w:w="108" w:type="dxa"/>
              <w:right w:w="108" w:type="dxa"/>
            </w:tcMar>
          </w:tcPr>
          <w:p w14:paraId="3EC86D63" w14:textId="3814EB09"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Review the existing national data</w:t>
            </w:r>
            <w:r w:rsidR="00281BBB">
              <w:rPr>
                <w:rFonts w:ascii="Calibri" w:eastAsiaTheme="minorEastAsia" w:hAnsi="Calibri" w:cs="Calibri"/>
                <w:color w:val="000000" w:themeColor="text1"/>
              </w:rPr>
              <w:t>-</w:t>
            </w:r>
            <w:r w:rsidRPr="0015517B">
              <w:rPr>
                <w:rFonts w:ascii="Calibri" w:eastAsiaTheme="minorEastAsia" w:hAnsi="Calibri" w:cs="Calibri"/>
                <w:color w:val="000000" w:themeColor="text1"/>
              </w:rPr>
              <w:t>sharing system to identify next steps needed to deliver a coordinated and interoperable surveillance data</w:t>
            </w:r>
            <w:r w:rsidR="00281BBB">
              <w:rPr>
                <w:rFonts w:ascii="Calibri" w:eastAsiaTheme="minorEastAsia" w:hAnsi="Calibri" w:cs="Calibri"/>
                <w:color w:val="000000" w:themeColor="text1"/>
              </w:rPr>
              <w:t>-</w:t>
            </w:r>
            <w:r w:rsidRPr="0015517B">
              <w:rPr>
                <w:rFonts w:ascii="Calibri" w:eastAsiaTheme="minorEastAsia" w:hAnsi="Calibri" w:cs="Calibri"/>
                <w:color w:val="000000" w:themeColor="text1"/>
              </w:rPr>
              <w:t>sharing system. This activity will take into consideration lessons learned from COVID-19 and be tested through national response exercises.</w:t>
            </w:r>
          </w:p>
        </w:tc>
        <w:tc>
          <w:tcPr>
            <w:tcW w:w="2127" w:type="dxa"/>
            <w:tcBorders>
              <w:top w:val="single" w:sz="4" w:space="0" w:color="auto"/>
              <w:left w:val="nil"/>
              <w:bottom w:val="single" w:sz="4" w:space="0" w:color="auto"/>
              <w:right w:val="nil"/>
            </w:tcBorders>
            <w:shd w:val="clear" w:color="auto" w:fill="FFFFFF" w:themeFill="background1"/>
          </w:tcPr>
          <w:p w14:paraId="2A193973" w14:textId="77777777"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Commonwealth and Victoria</w:t>
            </w:r>
          </w:p>
        </w:tc>
        <w:tc>
          <w:tcPr>
            <w:tcW w:w="850" w:type="dxa"/>
            <w:tcBorders>
              <w:top w:val="single" w:sz="4" w:space="0" w:color="auto"/>
              <w:left w:val="nil"/>
              <w:bottom w:val="single" w:sz="4" w:space="0" w:color="auto"/>
            </w:tcBorders>
            <w:shd w:val="clear" w:color="auto" w:fill="FFFFFF" w:themeFill="background1"/>
          </w:tcPr>
          <w:p w14:paraId="24BDAA06" w14:textId="6595CF25" w:rsidR="00EB5B94" w:rsidRPr="0015517B" w:rsidRDefault="00EB5B94" w:rsidP="002F3FA6">
            <w:pPr>
              <w:pStyle w:val="TableText"/>
              <w:rPr>
                <w:rFonts w:ascii="Calibri" w:eastAsiaTheme="minorEastAsia" w:hAnsi="Calibri" w:cs="Calibri"/>
                <w:color w:val="000000" w:themeColor="text1"/>
              </w:rPr>
            </w:pPr>
            <w:r w:rsidRPr="0015517B">
              <w:rPr>
                <w:rFonts w:ascii="Calibri" w:eastAsiaTheme="minorEastAsia" w:hAnsi="Calibri" w:cs="Calibri"/>
                <w:color w:val="000000" w:themeColor="text1"/>
              </w:rPr>
              <w:t>Oct</w:t>
            </w:r>
            <w:r w:rsidR="00071026">
              <w:rPr>
                <w:rFonts w:ascii="Calibri" w:eastAsiaTheme="minorEastAsia" w:hAnsi="Calibri" w:cs="Calibri"/>
                <w:color w:val="000000" w:themeColor="text1"/>
              </w:rPr>
              <w:t xml:space="preserve"> 20</w:t>
            </w:r>
            <w:r w:rsidRPr="0015517B">
              <w:rPr>
                <w:rFonts w:ascii="Calibri" w:eastAsiaTheme="minorEastAsia" w:hAnsi="Calibri" w:cs="Calibri"/>
                <w:color w:val="000000" w:themeColor="text1"/>
              </w:rPr>
              <w:t>26</w:t>
            </w:r>
          </w:p>
        </w:tc>
      </w:tr>
    </w:tbl>
    <w:p w14:paraId="7B629428" w14:textId="530CE178" w:rsidR="00EB5B94" w:rsidRDefault="00A956F2" w:rsidP="00113401">
      <w:pPr>
        <w:pStyle w:val="Heading3"/>
        <w:pageBreakBefore/>
        <w:numPr>
          <w:ilvl w:val="0"/>
          <w:numId w:val="0"/>
        </w:numPr>
        <w:ind w:left="964" w:hanging="964"/>
        <w:rPr>
          <w:lang w:eastAsia="ja-JP"/>
        </w:rPr>
      </w:pPr>
      <w:bookmarkStart w:id="28" w:name="_Toc174097861"/>
      <w:r>
        <w:rPr>
          <w:lang w:eastAsia="ja-JP"/>
        </w:rPr>
        <w:lastRenderedPageBreak/>
        <w:t>NBS p</w:t>
      </w:r>
      <w:r w:rsidR="00EB5B94" w:rsidRPr="00FF2EB1">
        <w:rPr>
          <w:lang w:eastAsia="ja-JP"/>
        </w:rPr>
        <w:t>riority area</w:t>
      </w:r>
      <w:r>
        <w:rPr>
          <w:lang w:eastAsia="ja-JP"/>
        </w:rPr>
        <w:t xml:space="preserve"> 5</w:t>
      </w:r>
      <w:r w:rsidR="00EB5B94" w:rsidRPr="00FF2EB1">
        <w:rPr>
          <w:lang w:eastAsia="ja-JP"/>
        </w:rPr>
        <w:t>:</w:t>
      </w:r>
      <w:r w:rsidR="00EB5B94">
        <w:rPr>
          <w:lang w:eastAsia="ja-JP"/>
        </w:rPr>
        <w:t xml:space="preserve"> Sustainable investment</w:t>
      </w:r>
      <w:bookmarkEnd w:id="28"/>
    </w:p>
    <w:p w14:paraId="0FDACC7A" w14:textId="77777777" w:rsidR="00EB5B94" w:rsidRDefault="00EB5B94" w:rsidP="001A1189">
      <w:pPr>
        <w:pStyle w:val="BoxText"/>
        <w:rPr>
          <w:lang w:eastAsia="ja-JP"/>
        </w:rPr>
      </w:pPr>
      <w:r>
        <w:rPr>
          <w:lang w:eastAsia="ja-JP"/>
        </w:rPr>
        <w:t>We will ensure funding and investment is sufficient, co-funded, transparent, targeted to our priorities and sustainable for the long term.</w:t>
      </w:r>
    </w:p>
    <w:p w14:paraId="57E3273B" w14:textId="5C816BD5" w:rsidR="00EB5B94" w:rsidRDefault="00A956F2" w:rsidP="00EB5B94">
      <w:pPr>
        <w:rPr>
          <w:lang w:eastAsia="ja-JP"/>
        </w:rPr>
      </w:pPr>
      <w:r>
        <w:rPr>
          <w:lang w:eastAsia="ja-JP"/>
        </w:rPr>
        <w:t>The s</w:t>
      </w:r>
      <w:r w:rsidR="00EB5B94">
        <w:rPr>
          <w:lang w:eastAsia="ja-JP"/>
        </w:rPr>
        <w:t xml:space="preserve">ustainable investment </w:t>
      </w:r>
      <w:r>
        <w:rPr>
          <w:lang w:eastAsia="ja-JP"/>
        </w:rPr>
        <w:t xml:space="preserve">priority </w:t>
      </w:r>
      <w:r w:rsidR="00EB5B94">
        <w:rPr>
          <w:lang w:eastAsia="ja-JP"/>
        </w:rPr>
        <w:t>aims to develop long-term sustainable biosecurity funding and investment approaches (including new funding streams and models) that recognise the value of government, industry and the community investing in biosecurity to support the system’s growing needs and priorities.</w:t>
      </w:r>
    </w:p>
    <w:p w14:paraId="4064E424" w14:textId="77777777" w:rsidR="00EB5B94" w:rsidRDefault="00EB5B94" w:rsidP="00EB5B94">
      <w:pPr>
        <w:rPr>
          <w:lang w:eastAsia="ja-JP"/>
        </w:rPr>
      </w:pPr>
      <w:r>
        <w:rPr>
          <w:lang w:eastAsia="ja-JP"/>
        </w:rPr>
        <w:t>This priority area is recognised by stakeholders as important and underpinning of other priority areas. The challenge of sustainable funding and investment is not unique to biosecurity and there are calls for a national conversation. The NBS notes that we will ensure sustainable investment approaches are efficient, equitable, adaptable, transparent, and responsive to the changing risk environment.</w:t>
      </w:r>
    </w:p>
    <w:p w14:paraId="662C6991" w14:textId="6DF7816F" w:rsidR="00427034" w:rsidRDefault="00EB5B94" w:rsidP="00EB5B94">
      <w:pPr>
        <w:pStyle w:val="Caption"/>
        <w:rPr>
          <w:lang w:eastAsia="ja-JP"/>
        </w:rPr>
      </w:pPr>
      <w:bookmarkStart w:id="29" w:name="_Toc172303490"/>
      <w:r>
        <w:t xml:space="preserve">Table </w:t>
      </w:r>
      <w:r>
        <w:fldChar w:fldCharType="begin"/>
      </w:r>
      <w:r>
        <w:instrText xml:space="preserve"> SEQ Table \* ARABIC </w:instrText>
      </w:r>
      <w:r>
        <w:fldChar w:fldCharType="separate"/>
      </w:r>
      <w:r w:rsidR="006072E5">
        <w:rPr>
          <w:noProof/>
        </w:rPr>
        <w:t>5</w:t>
      </w:r>
      <w:r>
        <w:fldChar w:fldCharType="end"/>
      </w:r>
      <w:r>
        <w:t xml:space="preserve"> </w:t>
      </w:r>
      <w:r w:rsidRPr="00FF2EB1">
        <w:rPr>
          <w:lang w:eastAsia="ja-JP"/>
        </w:rPr>
        <w:t xml:space="preserve">Activities for </w:t>
      </w:r>
      <w:r w:rsidR="00A956F2">
        <w:rPr>
          <w:lang w:eastAsia="ja-JP"/>
        </w:rPr>
        <w:t xml:space="preserve">NBS </w:t>
      </w:r>
      <w:r w:rsidRPr="00FF2EB1">
        <w:rPr>
          <w:lang w:eastAsia="ja-JP"/>
        </w:rPr>
        <w:t>priority area 5</w:t>
      </w:r>
      <w:bookmarkEnd w:id="29"/>
    </w:p>
    <w:tbl>
      <w:tblPr>
        <w:tblW w:w="9204" w:type="dxa"/>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127"/>
        <w:gridCol w:w="4110"/>
        <w:gridCol w:w="2127"/>
        <w:gridCol w:w="840"/>
      </w:tblGrid>
      <w:tr w:rsidR="00BA7A02" w:rsidRPr="00A303FE" w14:paraId="68F1E5FC" w14:textId="77777777" w:rsidTr="20C1232A">
        <w:trPr>
          <w:cantSplit/>
          <w:tblHeader/>
        </w:trPr>
        <w:tc>
          <w:tcPr>
            <w:tcW w:w="2127" w:type="dxa"/>
            <w:tcBorders>
              <w:top w:val="single" w:sz="4" w:space="0" w:color="auto"/>
              <w:bottom w:val="single" w:sz="4" w:space="0" w:color="auto"/>
              <w:right w:val="nil"/>
            </w:tcBorders>
            <w:shd w:val="clear" w:color="auto" w:fill="FFFFFF" w:themeFill="background1"/>
            <w:tcMar>
              <w:left w:w="108" w:type="dxa"/>
              <w:right w:w="108" w:type="dxa"/>
            </w:tcMar>
          </w:tcPr>
          <w:p w14:paraId="0026DD36" w14:textId="204999A5" w:rsidR="00BA7A02" w:rsidRPr="00D01637" w:rsidRDefault="00BA7A02" w:rsidP="00BA7A02">
            <w:pPr>
              <w:pStyle w:val="TableHeading"/>
            </w:pPr>
            <w:bookmarkStart w:id="30" w:name="Title_5"/>
            <w:bookmarkEnd w:id="30"/>
            <w:r w:rsidRPr="00B56349">
              <w:t>Initial actions</w:t>
            </w:r>
          </w:p>
        </w:tc>
        <w:tc>
          <w:tcPr>
            <w:tcW w:w="4110" w:type="dxa"/>
            <w:tcBorders>
              <w:top w:val="single" w:sz="4" w:space="0" w:color="auto"/>
              <w:left w:val="nil"/>
              <w:bottom w:val="single" w:sz="4" w:space="0" w:color="auto"/>
              <w:right w:val="nil"/>
            </w:tcBorders>
            <w:shd w:val="clear" w:color="auto" w:fill="FFFFFF" w:themeFill="background1"/>
            <w:tcMar>
              <w:left w:w="108" w:type="dxa"/>
              <w:right w:w="108" w:type="dxa"/>
            </w:tcMar>
          </w:tcPr>
          <w:p w14:paraId="6E0107CD" w14:textId="5C3A1933" w:rsidR="00BA7A02" w:rsidRPr="00D01637" w:rsidRDefault="00BA7A02" w:rsidP="00BA7A02">
            <w:pPr>
              <w:pStyle w:val="TableHeading"/>
              <w:rPr>
                <w:rFonts w:eastAsiaTheme="minorEastAsia"/>
                <w:color w:val="000000" w:themeColor="text1"/>
              </w:rPr>
            </w:pPr>
            <w:r w:rsidRPr="00B56349">
              <w:t>Action plan activities</w:t>
            </w:r>
          </w:p>
        </w:tc>
        <w:tc>
          <w:tcPr>
            <w:tcW w:w="2127" w:type="dxa"/>
            <w:tcBorders>
              <w:top w:val="single" w:sz="4" w:space="0" w:color="auto"/>
              <w:left w:val="nil"/>
              <w:bottom w:val="single" w:sz="4" w:space="0" w:color="auto"/>
              <w:right w:val="nil"/>
            </w:tcBorders>
            <w:shd w:val="clear" w:color="auto" w:fill="FFFFFF" w:themeFill="background1"/>
          </w:tcPr>
          <w:p w14:paraId="3895439A" w14:textId="707E9863" w:rsidR="00BA7A02" w:rsidRPr="00D01637" w:rsidRDefault="00BA7A02" w:rsidP="00BA7A02">
            <w:pPr>
              <w:pStyle w:val="TableHeading"/>
              <w:rPr>
                <w:rFonts w:eastAsiaTheme="minorEastAsia"/>
                <w:color w:val="000000" w:themeColor="text1"/>
              </w:rPr>
            </w:pPr>
            <w:r w:rsidRPr="00B56349">
              <w:t>Activity leaders</w:t>
            </w:r>
          </w:p>
        </w:tc>
        <w:tc>
          <w:tcPr>
            <w:tcW w:w="840" w:type="dxa"/>
            <w:tcBorders>
              <w:top w:val="single" w:sz="4" w:space="0" w:color="auto"/>
              <w:left w:val="nil"/>
              <w:bottom w:val="single" w:sz="4" w:space="0" w:color="auto"/>
            </w:tcBorders>
            <w:shd w:val="clear" w:color="auto" w:fill="FFFFFF" w:themeFill="background1"/>
          </w:tcPr>
          <w:p w14:paraId="514F4409" w14:textId="47355D82" w:rsidR="00BA7A02" w:rsidRPr="00D01637" w:rsidRDefault="00BA7A02" w:rsidP="00BA7A02">
            <w:pPr>
              <w:pStyle w:val="TableHeading"/>
              <w:rPr>
                <w:rFonts w:eastAsiaTheme="minorEastAsia"/>
                <w:color w:val="000000" w:themeColor="text1"/>
              </w:rPr>
            </w:pPr>
            <w:r w:rsidRPr="00B56349">
              <w:t>Due</w:t>
            </w:r>
          </w:p>
        </w:tc>
      </w:tr>
      <w:tr w:rsidR="001A1189" w:rsidRPr="00651189" w14:paraId="1E118E55" w14:textId="77777777" w:rsidTr="20C1232A">
        <w:tc>
          <w:tcPr>
            <w:tcW w:w="2127" w:type="dxa"/>
            <w:tcBorders>
              <w:top w:val="single" w:sz="4" w:space="0" w:color="auto"/>
              <w:bottom w:val="single" w:sz="4" w:space="0" w:color="auto"/>
              <w:right w:val="nil"/>
            </w:tcBorders>
            <w:tcMar>
              <w:left w:w="108" w:type="dxa"/>
              <w:right w:w="108" w:type="dxa"/>
            </w:tcMar>
            <w:vAlign w:val="center"/>
          </w:tcPr>
          <w:p w14:paraId="2310D0C9" w14:textId="77777777" w:rsidR="001A1189" w:rsidRPr="00651189" w:rsidRDefault="001A1189" w:rsidP="002F3FA6">
            <w:pPr>
              <w:pStyle w:val="TableText"/>
              <w:rPr>
                <w:rFonts w:ascii="Calibri" w:hAnsi="Calibri" w:cs="Calibri"/>
              </w:rPr>
            </w:pPr>
            <w:r w:rsidRPr="558D2529">
              <w:rPr>
                <w:rFonts w:ascii="Calibri" w:hAnsi="Calibri" w:cs="Calibri"/>
              </w:rPr>
              <w:t>IA5.1 Work together to identify funding needs and determine priorities.</w:t>
            </w:r>
          </w:p>
        </w:tc>
        <w:tc>
          <w:tcPr>
            <w:tcW w:w="4110" w:type="dxa"/>
            <w:tcBorders>
              <w:top w:val="single" w:sz="4" w:space="0" w:color="auto"/>
              <w:left w:val="nil"/>
              <w:bottom w:val="single" w:sz="4" w:space="0" w:color="auto"/>
            </w:tcBorders>
            <w:tcMar>
              <w:left w:w="108" w:type="dxa"/>
              <w:right w:w="108" w:type="dxa"/>
            </w:tcMar>
          </w:tcPr>
          <w:p w14:paraId="5726797F" w14:textId="77777777" w:rsidR="001A1189" w:rsidRPr="00651189" w:rsidRDefault="001A1189"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Conduct a national biosecurity system sustainable funding review to identify funding needs and priorities and to inform additional funding resources and mechanisms, as needed.</w:t>
            </w:r>
          </w:p>
        </w:tc>
        <w:tc>
          <w:tcPr>
            <w:tcW w:w="2127" w:type="dxa"/>
            <w:tcBorders>
              <w:top w:val="single" w:sz="4" w:space="0" w:color="auto"/>
              <w:bottom w:val="single" w:sz="4" w:space="0" w:color="auto"/>
            </w:tcBorders>
          </w:tcPr>
          <w:p w14:paraId="7A0FEC1A" w14:textId="77777777" w:rsidR="001A1189" w:rsidRPr="00651189" w:rsidRDefault="001A1189"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 with input from relevant stakeholders</w:t>
            </w:r>
          </w:p>
        </w:tc>
        <w:tc>
          <w:tcPr>
            <w:tcW w:w="840" w:type="dxa"/>
            <w:tcBorders>
              <w:top w:val="single" w:sz="4" w:space="0" w:color="auto"/>
              <w:bottom w:val="single" w:sz="4" w:space="0" w:color="auto"/>
            </w:tcBorders>
          </w:tcPr>
          <w:p w14:paraId="4FE1A206" w14:textId="3F987BC2" w:rsidR="001A1189" w:rsidRPr="00651189" w:rsidRDefault="001A1189"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Jun</w:t>
            </w:r>
            <w:r w:rsidR="00A956F2">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1A1189" w:rsidRPr="00651189" w14:paraId="76D8723A" w14:textId="77777777" w:rsidTr="20C1232A">
        <w:tc>
          <w:tcPr>
            <w:tcW w:w="2127" w:type="dxa"/>
            <w:tcBorders>
              <w:top w:val="single" w:sz="4" w:space="0" w:color="auto"/>
              <w:bottom w:val="single" w:sz="4" w:space="0" w:color="auto"/>
              <w:right w:val="nil"/>
            </w:tcBorders>
            <w:tcMar>
              <w:left w:w="108" w:type="dxa"/>
              <w:right w:w="108" w:type="dxa"/>
            </w:tcMar>
            <w:vAlign w:val="center"/>
          </w:tcPr>
          <w:p w14:paraId="228E17AA" w14:textId="77777777" w:rsidR="001A1189" w:rsidRPr="00651189" w:rsidRDefault="001A1189" w:rsidP="002F3FA6">
            <w:pPr>
              <w:pStyle w:val="TableText"/>
              <w:rPr>
                <w:rFonts w:ascii="Calibri" w:hAnsi="Calibri" w:cs="Calibri"/>
              </w:rPr>
            </w:pPr>
            <w:r w:rsidRPr="558D2529">
              <w:rPr>
                <w:rFonts w:ascii="Calibri" w:hAnsi="Calibri" w:cs="Calibri"/>
              </w:rPr>
              <w:t>IA5.2 Strengthen frameworks to agree and deliver priority investment.</w:t>
            </w:r>
          </w:p>
        </w:tc>
        <w:tc>
          <w:tcPr>
            <w:tcW w:w="4110" w:type="dxa"/>
            <w:tcBorders>
              <w:top w:val="single" w:sz="4" w:space="0" w:color="auto"/>
              <w:left w:val="nil"/>
              <w:bottom w:val="single" w:sz="4" w:space="0" w:color="auto"/>
            </w:tcBorders>
            <w:tcMar>
              <w:left w:w="108" w:type="dxa"/>
              <w:right w:w="108" w:type="dxa"/>
            </w:tcMar>
          </w:tcPr>
          <w:p w14:paraId="402EA4DB" w14:textId="77777777" w:rsidR="001A1189" w:rsidRPr="00651189" w:rsidRDefault="001A1189"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Establish new national Biosecurity Capability and Investment Forum, with an initial focus on delivering a long-term investment plan.</w:t>
            </w:r>
          </w:p>
        </w:tc>
        <w:tc>
          <w:tcPr>
            <w:tcW w:w="2127" w:type="dxa"/>
            <w:tcBorders>
              <w:top w:val="single" w:sz="4" w:space="0" w:color="auto"/>
              <w:bottom w:val="single" w:sz="4" w:space="0" w:color="auto"/>
            </w:tcBorders>
          </w:tcPr>
          <w:p w14:paraId="58774611" w14:textId="77777777" w:rsidR="001A1189" w:rsidRPr="00651189" w:rsidRDefault="001A1189"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NBS Implementation Committee</w:t>
            </w:r>
          </w:p>
        </w:tc>
        <w:tc>
          <w:tcPr>
            <w:tcW w:w="840" w:type="dxa"/>
            <w:tcBorders>
              <w:top w:val="single" w:sz="4" w:space="0" w:color="auto"/>
              <w:bottom w:val="single" w:sz="4" w:space="0" w:color="auto"/>
            </w:tcBorders>
          </w:tcPr>
          <w:p w14:paraId="72C7D237" w14:textId="4567FC00" w:rsidR="001A1189" w:rsidRPr="00651189" w:rsidRDefault="001A1189"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Mar</w:t>
            </w:r>
            <w:r w:rsidR="00A956F2">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1A1189" w:rsidRPr="00651189" w14:paraId="1A49F7DF" w14:textId="77777777" w:rsidTr="20C1232A">
        <w:tc>
          <w:tcPr>
            <w:tcW w:w="2127" w:type="dxa"/>
            <w:tcBorders>
              <w:top w:val="single" w:sz="4" w:space="0" w:color="auto"/>
              <w:bottom w:val="single" w:sz="4" w:space="0" w:color="auto"/>
              <w:right w:val="nil"/>
            </w:tcBorders>
            <w:tcMar>
              <w:left w:w="108" w:type="dxa"/>
              <w:right w:w="108" w:type="dxa"/>
            </w:tcMar>
            <w:vAlign w:val="center"/>
          </w:tcPr>
          <w:p w14:paraId="68A30AC9" w14:textId="77777777" w:rsidR="001A1189" w:rsidRPr="00651189" w:rsidRDefault="001A1189" w:rsidP="002F3FA6">
            <w:pPr>
              <w:pStyle w:val="TableText"/>
              <w:rPr>
                <w:rFonts w:ascii="Calibri" w:hAnsi="Calibri" w:cs="Calibri"/>
              </w:rPr>
            </w:pPr>
            <w:r w:rsidRPr="558D2529">
              <w:rPr>
                <w:rFonts w:ascii="Calibri" w:hAnsi="Calibri" w:cs="Calibri"/>
              </w:rPr>
              <w:t>IA5.3 Advance co-funding and investment strategies with stakeholders.</w:t>
            </w:r>
          </w:p>
        </w:tc>
        <w:tc>
          <w:tcPr>
            <w:tcW w:w="4110" w:type="dxa"/>
            <w:tcBorders>
              <w:top w:val="single" w:sz="4" w:space="0" w:color="auto"/>
              <w:left w:val="nil"/>
              <w:bottom w:val="single" w:sz="4" w:space="0" w:color="auto"/>
            </w:tcBorders>
            <w:tcMar>
              <w:left w:w="108" w:type="dxa"/>
              <w:right w:w="108" w:type="dxa"/>
            </w:tcMar>
          </w:tcPr>
          <w:p w14:paraId="51E1BAA1" w14:textId="77777777" w:rsidR="001A1189" w:rsidRPr="00651189" w:rsidRDefault="001A1189"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Review of national surveillance, preparedness and response cost sharing arrangements and development of a national cost sharing options paper.</w:t>
            </w:r>
          </w:p>
        </w:tc>
        <w:tc>
          <w:tcPr>
            <w:tcW w:w="2127" w:type="dxa"/>
            <w:tcBorders>
              <w:top w:val="single" w:sz="4" w:space="0" w:color="auto"/>
              <w:bottom w:val="single" w:sz="4" w:space="0" w:color="auto"/>
            </w:tcBorders>
          </w:tcPr>
          <w:p w14:paraId="5BC184C2" w14:textId="77777777" w:rsidR="001A1189" w:rsidRPr="00651189" w:rsidRDefault="001A1189"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w:t>
            </w:r>
          </w:p>
        </w:tc>
        <w:tc>
          <w:tcPr>
            <w:tcW w:w="840" w:type="dxa"/>
            <w:tcBorders>
              <w:top w:val="single" w:sz="4" w:space="0" w:color="auto"/>
              <w:bottom w:val="single" w:sz="4" w:space="0" w:color="auto"/>
            </w:tcBorders>
          </w:tcPr>
          <w:p w14:paraId="2A0EF140" w14:textId="4D88FDB8" w:rsidR="001A1189" w:rsidRPr="00651189" w:rsidRDefault="001A1189"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Dec</w:t>
            </w:r>
            <w:r w:rsidR="00A956F2">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1A1189" w:rsidRPr="00651189" w14:paraId="1BEF6311" w14:textId="77777777" w:rsidTr="20C1232A">
        <w:tc>
          <w:tcPr>
            <w:tcW w:w="2127" w:type="dxa"/>
            <w:tcBorders>
              <w:top w:val="single" w:sz="4" w:space="0" w:color="auto"/>
              <w:bottom w:val="single" w:sz="4" w:space="0" w:color="auto"/>
              <w:right w:val="nil"/>
            </w:tcBorders>
            <w:tcMar>
              <w:left w:w="108" w:type="dxa"/>
              <w:right w:w="108" w:type="dxa"/>
            </w:tcMar>
            <w:vAlign w:val="center"/>
          </w:tcPr>
          <w:p w14:paraId="22B6F4C3" w14:textId="77777777" w:rsidR="001A1189" w:rsidRPr="00651189" w:rsidRDefault="001A1189" w:rsidP="002F3FA6">
            <w:pPr>
              <w:pStyle w:val="TableText"/>
              <w:rPr>
                <w:rFonts w:ascii="Calibri" w:hAnsi="Calibri" w:cs="Calibri"/>
              </w:rPr>
            </w:pPr>
            <w:r w:rsidRPr="558D2529">
              <w:rPr>
                <w:rFonts w:ascii="Calibri" w:hAnsi="Calibri" w:cs="Calibri"/>
              </w:rPr>
              <w:t>IA5.4 Increase the transparency of biosecurity funding.</w:t>
            </w:r>
          </w:p>
        </w:tc>
        <w:tc>
          <w:tcPr>
            <w:tcW w:w="4110" w:type="dxa"/>
            <w:tcBorders>
              <w:top w:val="single" w:sz="4" w:space="0" w:color="auto"/>
              <w:left w:val="nil"/>
              <w:bottom w:val="single" w:sz="4" w:space="0" w:color="auto"/>
            </w:tcBorders>
            <w:tcMar>
              <w:left w:w="108" w:type="dxa"/>
              <w:right w:w="108" w:type="dxa"/>
            </w:tcMar>
          </w:tcPr>
          <w:p w14:paraId="5FD8B301" w14:textId="6111BEBB" w:rsidR="001A1189" w:rsidRPr="00651189" w:rsidRDefault="00A956F2" w:rsidP="002F3FA6">
            <w:pPr>
              <w:pStyle w:val="TableText"/>
              <w:rPr>
                <w:rFonts w:ascii="Calibri" w:eastAsiaTheme="minorEastAsia" w:hAnsi="Calibri" w:cs="Calibri"/>
                <w:color w:val="000000" w:themeColor="text1"/>
              </w:rPr>
            </w:pPr>
            <w:r>
              <w:rPr>
                <w:rFonts w:ascii="Calibri" w:eastAsiaTheme="minorEastAsia" w:hAnsi="Calibri" w:cs="Calibri"/>
                <w:color w:val="000000" w:themeColor="text1"/>
              </w:rPr>
              <w:t>Develop n</w:t>
            </w:r>
            <w:r w:rsidR="001A1189" w:rsidRPr="0590BA0B">
              <w:rPr>
                <w:rFonts w:ascii="Calibri" w:eastAsiaTheme="minorEastAsia" w:hAnsi="Calibri" w:cs="Calibri"/>
                <w:color w:val="000000" w:themeColor="text1"/>
              </w:rPr>
              <w:t>ew public reporting of national biosecurity system funding and expenditure including Commonwealth, states and territories and relevant industry bodies.</w:t>
            </w:r>
          </w:p>
        </w:tc>
        <w:tc>
          <w:tcPr>
            <w:tcW w:w="2127" w:type="dxa"/>
            <w:tcBorders>
              <w:top w:val="single" w:sz="4" w:space="0" w:color="auto"/>
              <w:bottom w:val="single" w:sz="4" w:space="0" w:color="auto"/>
            </w:tcBorders>
          </w:tcPr>
          <w:p w14:paraId="17582939" w14:textId="77777777" w:rsidR="001A1189" w:rsidRPr="00651189" w:rsidRDefault="001A1189"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 with input from relevant stakeholders</w:t>
            </w:r>
          </w:p>
        </w:tc>
        <w:tc>
          <w:tcPr>
            <w:tcW w:w="840" w:type="dxa"/>
            <w:tcBorders>
              <w:top w:val="single" w:sz="4" w:space="0" w:color="auto"/>
              <w:bottom w:val="single" w:sz="4" w:space="0" w:color="auto"/>
            </w:tcBorders>
          </w:tcPr>
          <w:p w14:paraId="2C322CDA" w14:textId="29250559" w:rsidR="001A1189" w:rsidRPr="00651189" w:rsidRDefault="001A1189"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Oct</w:t>
            </w:r>
            <w:r w:rsidR="00A956F2">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1A1189" w:rsidRPr="00651189" w14:paraId="7A2E7BC2" w14:textId="77777777" w:rsidTr="20C1232A">
        <w:tc>
          <w:tcPr>
            <w:tcW w:w="2127" w:type="dxa"/>
            <w:tcBorders>
              <w:top w:val="single" w:sz="4" w:space="0" w:color="auto"/>
              <w:bottom w:val="single" w:sz="4" w:space="0" w:color="auto"/>
              <w:right w:val="nil"/>
            </w:tcBorders>
            <w:tcMar>
              <w:left w:w="108" w:type="dxa"/>
              <w:right w:w="108" w:type="dxa"/>
            </w:tcMar>
            <w:vAlign w:val="center"/>
          </w:tcPr>
          <w:p w14:paraId="49B83BAC" w14:textId="77777777" w:rsidR="001A1189" w:rsidRPr="00651189" w:rsidRDefault="001A1189" w:rsidP="002F3FA6">
            <w:pPr>
              <w:pStyle w:val="TableText"/>
              <w:rPr>
                <w:rFonts w:ascii="Calibri" w:hAnsi="Calibri" w:cs="Calibri"/>
              </w:rPr>
            </w:pPr>
            <w:r w:rsidRPr="558D2529">
              <w:rPr>
                <w:rFonts w:ascii="Calibri" w:hAnsi="Calibri" w:cs="Calibri"/>
              </w:rPr>
              <w:t>IA5.5 Complete the development of a system performance and evaluation framework.</w:t>
            </w:r>
          </w:p>
        </w:tc>
        <w:tc>
          <w:tcPr>
            <w:tcW w:w="4110" w:type="dxa"/>
            <w:tcBorders>
              <w:top w:val="single" w:sz="4" w:space="0" w:color="auto"/>
              <w:left w:val="nil"/>
              <w:bottom w:val="single" w:sz="4" w:space="0" w:color="auto"/>
            </w:tcBorders>
            <w:tcMar>
              <w:left w:w="108" w:type="dxa"/>
              <w:right w:w="108" w:type="dxa"/>
            </w:tcMar>
          </w:tcPr>
          <w:p w14:paraId="3BD60DAD" w14:textId="77777777" w:rsidR="001A1189" w:rsidRPr="00651189" w:rsidRDefault="001A1189"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Undertake analysis to evaluate the return on investment for biosecurity activities to inform future measures.</w:t>
            </w:r>
          </w:p>
        </w:tc>
        <w:tc>
          <w:tcPr>
            <w:tcW w:w="2127" w:type="dxa"/>
            <w:tcBorders>
              <w:top w:val="single" w:sz="4" w:space="0" w:color="auto"/>
              <w:bottom w:val="single" w:sz="4" w:space="0" w:color="auto"/>
            </w:tcBorders>
          </w:tcPr>
          <w:p w14:paraId="1DD777AC" w14:textId="1EC158F2" w:rsidR="001A1189" w:rsidRPr="00651189" w:rsidRDefault="00A956F2" w:rsidP="002F3FA6">
            <w:pPr>
              <w:pStyle w:val="TableText"/>
              <w:rPr>
                <w:rFonts w:ascii="Calibri" w:eastAsiaTheme="minorEastAsia" w:hAnsi="Calibri" w:cs="Calibri"/>
                <w:color w:val="000000" w:themeColor="text1"/>
              </w:rPr>
            </w:pPr>
            <w:r w:rsidRPr="00A956F2">
              <w:rPr>
                <w:rFonts w:ascii="Calibri" w:eastAsiaTheme="minorEastAsia" w:hAnsi="Calibri" w:cs="Calibri"/>
                <w:color w:val="000000" w:themeColor="text1"/>
              </w:rPr>
              <w:t>Commonwealth and Centre of Excellence for Biosecurity Risk Analysis</w:t>
            </w:r>
          </w:p>
        </w:tc>
        <w:tc>
          <w:tcPr>
            <w:tcW w:w="840" w:type="dxa"/>
            <w:tcBorders>
              <w:top w:val="single" w:sz="4" w:space="0" w:color="auto"/>
              <w:bottom w:val="single" w:sz="4" w:space="0" w:color="auto"/>
            </w:tcBorders>
          </w:tcPr>
          <w:p w14:paraId="6E16C272" w14:textId="5704DC89" w:rsidR="001A1189" w:rsidRPr="00651189" w:rsidRDefault="001A1189"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Oct</w:t>
            </w:r>
            <w:r w:rsidR="00A956F2">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26</w:t>
            </w:r>
          </w:p>
        </w:tc>
      </w:tr>
    </w:tbl>
    <w:p w14:paraId="2C8C53F6" w14:textId="406E9F78" w:rsidR="00CF32E6" w:rsidRDefault="00A956F2" w:rsidP="00113401">
      <w:pPr>
        <w:pStyle w:val="Heading3"/>
        <w:pageBreakBefore/>
        <w:numPr>
          <w:ilvl w:val="0"/>
          <w:numId w:val="0"/>
        </w:numPr>
        <w:rPr>
          <w:lang w:eastAsia="ja-JP"/>
        </w:rPr>
      </w:pPr>
      <w:bookmarkStart w:id="31" w:name="_Toc174097862"/>
      <w:r>
        <w:lastRenderedPageBreak/>
        <w:t xml:space="preserve">NBS </w:t>
      </w:r>
      <w:r w:rsidR="00CF32E6" w:rsidRPr="00113401">
        <w:t>Priority</w:t>
      </w:r>
      <w:r w:rsidR="00CF32E6">
        <w:rPr>
          <w:lang w:eastAsia="ja-JP"/>
        </w:rPr>
        <w:t xml:space="preserve"> area</w:t>
      </w:r>
      <w:r>
        <w:rPr>
          <w:lang w:eastAsia="ja-JP"/>
        </w:rPr>
        <w:t xml:space="preserve"> 6</w:t>
      </w:r>
      <w:r w:rsidR="00CF32E6">
        <w:rPr>
          <w:lang w:eastAsia="ja-JP"/>
        </w:rPr>
        <w:t>: Integration supported by technology, research and data</w:t>
      </w:r>
      <w:bookmarkEnd w:id="31"/>
    </w:p>
    <w:p w14:paraId="1E7DDF1C" w14:textId="77777777" w:rsidR="00CF32E6" w:rsidRDefault="00CF32E6" w:rsidP="00CF32E6">
      <w:pPr>
        <w:pStyle w:val="BoxText"/>
        <w:rPr>
          <w:lang w:eastAsia="ja-JP"/>
        </w:rPr>
      </w:pPr>
      <w:r>
        <w:rPr>
          <w:lang w:eastAsia="ja-JP"/>
        </w:rPr>
        <w:t>We will create a more connected, efficient, and science-based system to facilitate timely, informed and risk-based decisions.</w:t>
      </w:r>
    </w:p>
    <w:p w14:paraId="5DE4E75F" w14:textId="0A207E57" w:rsidR="00CF32E6" w:rsidRDefault="00A956F2" w:rsidP="00CF32E6">
      <w:pPr>
        <w:rPr>
          <w:lang w:eastAsia="ja-JP"/>
        </w:rPr>
      </w:pPr>
      <w:r>
        <w:rPr>
          <w:lang w:eastAsia="ja-JP"/>
        </w:rPr>
        <w:t>The i</w:t>
      </w:r>
      <w:r w:rsidR="00CF32E6">
        <w:rPr>
          <w:lang w:eastAsia="ja-JP"/>
        </w:rPr>
        <w:t xml:space="preserve">ntegration supported by technology, research and data </w:t>
      </w:r>
      <w:r>
        <w:rPr>
          <w:lang w:eastAsia="ja-JP"/>
        </w:rPr>
        <w:t xml:space="preserve">priority </w:t>
      </w:r>
      <w:r w:rsidR="00CF32E6">
        <w:rPr>
          <w:lang w:eastAsia="ja-JP"/>
        </w:rPr>
        <w:t>aims to create a more connected and efficient system to better leverage existing and new technology, research, and data to facilitate timely, informed and risk-based decisions.</w:t>
      </w:r>
    </w:p>
    <w:p w14:paraId="75646815" w14:textId="318D1C2D" w:rsidR="00427034" w:rsidRDefault="00CF32E6" w:rsidP="00CF32E6">
      <w:pPr>
        <w:rPr>
          <w:lang w:eastAsia="ja-JP"/>
        </w:rPr>
      </w:pPr>
      <w:r>
        <w:rPr>
          <w:lang w:eastAsia="ja-JP"/>
        </w:rPr>
        <w:t>Stakeholders identified the need for nationally coordinated approaches with an emphasis on improving surveillance systems, data sharing and sought improvements in decision-making and resource allocation.</w:t>
      </w:r>
    </w:p>
    <w:p w14:paraId="3A0357AE" w14:textId="55BA63CC" w:rsidR="00427034" w:rsidRDefault="00CF32E6" w:rsidP="00CF32E6">
      <w:pPr>
        <w:pStyle w:val="Caption"/>
        <w:rPr>
          <w:lang w:eastAsia="ja-JP"/>
        </w:rPr>
      </w:pPr>
      <w:bookmarkStart w:id="32" w:name="_Toc172303491"/>
      <w:r>
        <w:t xml:space="preserve">Table </w:t>
      </w:r>
      <w:r>
        <w:fldChar w:fldCharType="begin"/>
      </w:r>
      <w:r>
        <w:instrText xml:space="preserve"> SEQ Table \* ARABIC </w:instrText>
      </w:r>
      <w:r>
        <w:fldChar w:fldCharType="separate"/>
      </w:r>
      <w:r w:rsidR="006072E5">
        <w:rPr>
          <w:noProof/>
        </w:rPr>
        <w:t>6</w:t>
      </w:r>
      <w:r>
        <w:fldChar w:fldCharType="end"/>
      </w:r>
      <w:r>
        <w:t xml:space="preserve"> </w:t>
      </w:r>
      <w:r w:rsidRPr="00CF32E6">
        <w:rPr>
          <w:lang w:eastAsia="ja-JP"/>
        </w:rPr>
        <w:t xml:space="preserve">Activities for </w:t>
      </w:r>
      <w:r w:rsidR="0026385E">
        <w:rPr>
          <w:lang w:eastAsia="ja-JP"/>
        </w:rPr>
        <w:t xml:space="preserve">NBS </w:t>
      </w:r>
      <w:r w:rsidRPr="00CF32E6">
        <w:rPr>
          <w:lang w:eastAsia="ja-JP"/>
        </w:rPr>
        <w:t>priority area 6</w:t>
      </w:r>
      <w:bookmarkEnd w:id="32"/>
    </w:p>
    <w:tbl>
      <w:tblPr>
        <w:tblW w:w="9214" w:type="dxa"/>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8"/>
        <w:gridCol w:w="4607"/>
        <w:gridCol w:w="1489"/>
        <w:gridCol w:w="850"/>
      </w:tblGrid>
      <w:tr w:rsidR="00BA7A02" w:rsidRPr="006B3DF2" w14:paraId="5198FF8D" w14:textId="77777777" w:rsidTr="00CA6237">
        <w:trPr>
          <w:cantSplit/>
          <w:tblHeader/>
        </w:trPr>
        <w:tc>
          <w:tcPr>
            <w:tcW w:w="2268" w:type="dxa"/>
            <w:tcBorders>
              <w:top w:val="single" w:sz="4" w:space="0" w:color="auto"/>
              <w:bottom w:val="single" w:sz="4" w:space="0" w:color="auto"/>
              <w:right w:val="nil"/>
            </w:tcBorders>
            <w:shd w:val="clear" w:color="auto" w:fill="FFFFFF" w:themeFill="background1"/>
            <w:tcMar>
              <w:left w:w="108" w:type="dxa"/>
              <w:right w:w="108" w:type="dxa"/>
            </w:tcMar>
          </w:tcPr>
          <w:p w14:paraId="61B92C6B" w14:textId="2C36E42A" w:rsidR="00BA7A02" w:rsidRPr="006B3DF2" w:rsidRDefault="00BA7A02" w:rsidP="00BA7A02">
            <w:pPr>
              <w:pStyle w:val="TableHeading"/>
            </w:pPr>
            <w:bookmarkStart w:id="33" w:name="_Hlk172296915"/>
            <w:r w:rsidRPr="009F6319">
              <w:t>Initial actions</w:t>
            </w:r>
          </w:p>
        </w:tc>
        <w:tc>
          <w:tcPr>
            <w:tcW w:w="4607" w:type="dxa"/>
            <w:tcBorders>
              <w:top w:val="single" w:sz="4" w:space="0" w:color="auto"/>
              <w:left w:val="nil"/>
              <w:bottom w:val="single" w:sz="4" w:space="0" w:color="auto"/>
              <w:right w:val="nil"/>
            </w:tcBorders>
            <w:shd w:val="clear" w:color="auto" w:fill="FFFFFF" w:themeFill="background1"/>
            <w:tcMar>
              <w:left w:w="108" w:type="dxa"/>
              <w:right w:w="108" w:type="dxa"/>
            </w:tcMar>
          </w:tcPr>
          <w:p w14:paraId="17E9F44B" w14:textId="21E48646" w:rsidR="00BA7A02" w:rsidRPr="006B3DF2" w:rsidRDefault="00BA7A02" w:rsidP="00BA7A02">
            <w:pPr>
              <w:pStyle w:val="TableHeading"/>
              <w:rPr>
                <w:rFonts w:eastAsiaTheme="minorEastAsia"/>
                <w:color w:val="000000" w:themeColor="text1"/>
              </w:rPr>
            </w:pPr>
            <w:r w:rsidRPr="009F6319">
              <w:t>Action plan activities</w:t>
            </w:r>
          </w:p>
        </w:tc>
        <w:tc>
          <w:tcPr>
            <w:tcW w:w="1489" w:type="dxa"/>
            <w:tcBorders>
              <w:top w:val="single" w:sz="4" w:space="0" w:color="auto"/>
              <w:left w:val="nil"/>
              <w:bottom w:val="single" w:sz="4" w:space="0" w:color="auto"/>
              <w:right w:val="nil"/>
            </w:tcBorders>
            <w:shd w:val="clear" w:color="auto" w:fill="FFFFFF" w:themeFill="background1"/>
          </w:tcPr>
          <w:p w14:paraId="054D988C" w14:textId="337E6047" w:rsidR="00BA7A02" w:rsidRPr="006B3DF2" w:rsidRDefault="00BA7A02" w:rsidP="00BA7A02">
            <w:pPr>
              <w:pStyle w:val="TableHeading"/>
              <w:rPr>
                <w:rFonts w:eastAsiaTheme="minorEastAsia"/>
                <w:color w:val="000000" w:themeColor="text1"/>
              </w:rPr>
            </w:pPr>
            <w:r w:rsidRPr="009F6319">
              <w:t>Activity leaders</w:t>
            </w:r>
          </w:p>
        </w:tc>
        <w:tc>
          <w:tcPr>
            <w:tcW w:w="850" w:type="dxa"/>
            <w:tcBorders>
              <w:top w:val="single" w:sz="4" w:space="0" w:color="auto"/>
              <w:left w:val="nil"/>
              <w:bottom w:val="single" w:sz="4" w:space="0" w:color="auto"/>
            </w:tcBorders>
            <w:shd w:val="clear" w:color="auto" w:fill="FFFFFF" w:themeFill="background1"/>
          </w:tcPr>
          <w:p w14:paraId="0CE1E849" w14:textId="4A54E186" w:rsidR="00BA7A02" w:rsidRPr="006B3DF2" w:rsidRDefault="00BA7A02" w:rsidP="00BA7A02">
            <w:pPr>
              <w:pStyle w:val="TableHeading"/>
              <w:rPr>
                <w:rFonts w:eastAsiaTheme="minorEastAsia"/>
                <w:color w:val="000000" w:themeColor="text1"/>
              </w:rPr>
            </w:pPr>
            <w:r w:rsidRPr="009F6319">
              <w:t>Due</w:t>
            </w:r>
          </w:p>
        </w:tc>
      </w:tr>
      <w:bookmarkEnd w:id="33"/>
      <w:tr w:rsidR="00CF32E6" w:rsidRPr="00651189" w14:paraId="085EBE72" w14:textId="77777777" w:rsidTr="00CA6237">
        <w:tc>
          <w:tcPr>
            <w:tcW w:w="2268" w:type="dxa"/>
            <w:tcBorders>
              <w:top w:val="single" w:sz="4" w:space="0" w:color="auto"/>
              <w:bottom w:val="single" w:sz="4" w:space="0" w:color="auto"/>
              <w:right w:val="nil"/>
            </w:tcBorders>
            <w:tcMar>
              <w:left w:w="108" w:type="dxa"/>
              <w:right w:w="108" w:type="dxa"/>
            </w:tcMar>
            <w:vAlign w:val="center"/>
          </w:tcPr>
          <w:p w14:paraId="7590A58D" w14:textId="77777777" w:rsidR="00CF32E6" w:rsidRPr="00651189" w:rsidRDefault="00CF32E6" w:rsidP="002F3FA6">
            <w:pPr>
              <w:pStyle w:val="TableText"/>
              <w:rPr>
                <w:rFonts w:ascii="Calibri" w:hAnsi="Calibri" w:cs="Calibri"/>
              </w:rPr>
            </w:pPr>
            <w:r w:rsidRPr="16A452E7">
              <w:rPr>
                <w:rFonts w:ascii="Calibri" w:hAnsi="Calibri" w:cs="Calibri"/>
              </w:rPr>
              <w:t>IA6.1 Continue to invest in and roll out transformative technologies to digitise and automate processes.</w:t>
            </w:r>
          </w:p>
        </w:tc>
        <w:tc>
          <w:tcPr>
            <w:tcW w:w="4607" w:type="dxa"/>
            <w:tcBorders>
              <w:top w:val="single" w:sz="4" w:space="0" w:color="auto"/>
              <w:left w:val="nil"/>
              <w:bottom w:val="single" w:sz="4" w:space="0" w:color="auto"/>
            </w:tcBorders>
            <w:tcMar>
              <w:left w:w="108" w:type="dxa"/>
              <w:right w:w="108" w:type="dxa"/>
            </w:tcMar>
          </w:tcPr>
          <w:p w14:paraId="492C108D" w14:textId="77777777"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 xml:space="preserve">Leverage </w:t>
            </w:r>
            <w:r w:rsidRPr="005A7336">
              <w:t xml:space="preserve">the current activities and working groups of governments and industry to better coordinate, understand and promote national investment opportunities in biosecurity research, </w:t>
            </w:r>
            <w:r w:rsidRPr="0590BA0B">
              <w:rPr>
                <w:rFonts w:ascii="Calibri" w:eastAsiaTheme="minorEastAsia" w:hAnsi="Calibri" w:cs="Calibri"/>
                <w:color w:val="000000" w:themeColor="text1"/>
              </w:rPr>
              <w:t>development, and extension, including automation and digitisation.</w:t>
            </w:r>
          </w:p>
        </w:tc>
        <w:tc>
          <w:tcPr>
            <w:tcW w:w="1489" w:type="dxa"/>
            <w:tcBorders>
              <w:top w:val="single" w:sz="4" w:space="0" w:color="auto"/>
              <w:bottom w:val="single" w:sz="4" w:space="0" w:color="auto"/>
            </w:tcBorders>
          </w:tcPr>
          <w:p w14:paraId="3A83D4A7" w14:textId="77777777"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w:t>
            </w:r>
          </w:p>
        </w:tc>
        <w:tc>
          <w:tcPr>
            <w:tcW w:w="850" w:type="dxa"/>
            <w:tcBorders>
              <w:top w:val="single" w:sz="4" w:space="0" w:color="auto"/>
              <w:bottom w:val="single" w:sz="4" w:space="0" w:color="auto"/>
            </w:tcBorders>
          </w:tcPr>
          <w:p w14:paraId="6E81E5EE" w14:textId="64A18CB6"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Mar</w:t>
            </w:r>
            <w:r w:rsidR="00CA6237">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CF32E6" w:rsidRPr="00651189" w14:paraId="78E1133E" w14:textId="77777777" w:rsidTr="00CA6237">
        <w:tc>
          <w:tcPr>
            <w:tcW w:w="2268" w:type="dxa"/>
            <w:tcBorders>
              <w:top w:val="single" w:sz="4" w:space="0" w:color="auto"/>
              <w:bottom w:val="single" w:sz="4" w:space="0" w:color="auto"/>
              <w:right w:val="nil"/>
            </w:tcBorders>
            <w:tcMar>
              <w:left w:w="108" w:type="dxa"/>
              <w:right w:w="108" w:type="dxa"/>
            </w:tcMar>
            <w:vAlign w:val="center"/>
          </w:tcPr>
          <w:p w14:paraId="35BCCCF1" w14:textId="77777777" w:rsidR="00CF32E6" w:rsidRPr="00651189" w:rsidRDefault="00CF32E6" w:rsidP="002F3FA6">
            <w:pPr>
              <w:pStyle w:val="TableText"/>
              <w:rPr>
                <w:rFonts w:ascii="Calibri" w:hAnsi="Calibri" w:cs="Calibri"/>
              </w:rPr>
            </w:pPr>
            <w:r w:rsidRPr="16A452E7">
              <w:rPr>
                <w:rFonts w:ascii="Calibri" w:hAnsi="Calibri" w:cs="Calibri"/>
              </w:rPr>
              <w:t>IA6.2 Increase stakeholder coordination to prioritise, drive and deliver national research outcomes.</w:t>
            </w:r>
          </w:p>
        </w:tc>
        <w:tc>
          <w:tcPr>
            <w:tcW w:w="4607" w:type="dxa"/>
            <w:tcBorders>
              <w:top w:val="single" w:sz="4" w:space="0" w:color="auto"/>
              <w:left w:val="nil"/>
              <w:bottom w:val="single" w:sz="4" w:space="0" w:color="auto"/>
            </w:tcBorders>
            <w:tcMar>
              <w:left w:w="108" w:type="dxa"/>
              <w:right w:w="108" w:type="dxa"/>
            </w:tcMar>
          </w:tcPr>
          <w:p w14:paraId="270F15DD" w14:textId="10969FED" w:rsidR="00CF32E6" w:rsidRPr="00C274B9" w:rsidRDefault="00CF32E6" w:rsidP="002F3FA6">
            <w:pPr>
              <w:pStyle w:val="TableText"/>
              <w:rPr>
                <w:rFonts w:eastAsiaTheme="minorEastAsia"/>
                <w:color w:val="000000" w:themeColor="text1"/>
              </w:rPr>
            </w:pPr>
            <w:r w:rsidRPr="0590BA0B">
              <w:t>Coordinat</w:t>
            </w:r>
            <w:r w:rsidR="00A956F2">
              <w:t>e</w:t>
            </w:r>
            <w:r w:rsidRPr="0590BA0B">
              <w:t xml:space="preserve"> and align national investments in biosecurity research, development and extension and incorporate into national governance frameworks where appropriate.</w:t>
            </w:r>
          </w:p>
        </w:tc>
        <w:tc>
          <w:tcPr>
            <w:tcW w:w="1489" w:type="dxa"/>
            <w:tcBorders>
              <w:top w:val="single" w:sz="4" w:space="0" w:color="auto"/>
              <w:bottom w:val="single" w:sz="4" w:space="0" w:color="auto"/>
            </w:tcBorders>
          </w:tcPr>
          <w:p w14:paraId="08C690BC" w14:textId="77777777"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w:t>
            </w:r>
          </w:p>
        </w:tc>
        <w:tc>
          <w:tcPr>
            <w:tcW w:w="850" w:type="dxa"/>
            <w:tcBorders>
              <w:top w:val="single" w:sz="4" w:space="0" w:color="auto"/>
              <w:bottom w:val="single" w:sz="4" w:space="0" w:color="auto"/>
            </w:tcBorders>
          </w:tcPr>
          <w:p w14:paraId="44AB40C8" w14:textId="32CE49FE"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Jan</w:t>
            </w:r>
            <w:r w:rsidR="00CA6237">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CF32E6" w:rsidRPr="00651189" w14:paraId="22E93F68" w14:textId="77777777" w:rsidTr="00CA6237">
        <w:tc>
          <w:tcPr>
            <w:tcW w:w="2268" w:type="dxa"/>
            <w:vMerge w:val="restart"/>
            <w:tcBorders>
              <w:top w:val="single" w:sz="4" w:space="0" w:color="auto"/>
              <w:right w:val="nil"/>
            </w:tcBorders>
            <w:tcMar>
              <w:left w:w="108" w:type="dxa"/>
              <w:right w:w="108" w:type="dxa"/>
            </w:tcMar>
            <w:vAlign w:val="center"/>
          </w:tcPr>
          <w:p w14:paraId="6DAC2283" w14:textId="77777777" w:rsidR="00CF32E6" w:rsidRPr="00651189" w:rsidRDefault="00CF32E6" w:rsidP="002F3FA6">
            <w:pPr>
              <w:pStyle w:val="TableText"/>
              <w:rPr>
                <w:rFonts w:ascii="Calibri" w:hAnsi="Calibri" w:cs="Calibri"/>
              </w:rPr>
            </w:pPr>
            <w:r w:rsidRPr="16A452E7">
              <w:rPr>
                <w:rFonts w:ascii="Calibri" w:hAnsi="Calibri" w:cs="Calibri"/>
              </w:rPr>
              <w:t>IA6.3 Actively share data and research widely.</w:t>
            </w:r>
          </w:p>
        </w:tc>
        <w:tc>
          <w:tcPr>
            <w:tcW w:w="4607" w:type="dxa"/>
            <w:tcBorders>
              <w:top w:val="single" w:sz="4" w:space="0" w:color="auto"/>
              <w:left w:val="nil"/>
              <w:bottom w:val="single" w:sz="4" w:space="0" w:color="auto"/>
            </w:tcBorders>
            <w:tcMar>
              <w:left w:w="108" w:type="dxa"/>
              <w:right w:w="108" w:type="dxa"/>
            </w:tcMar>
          </w:tcPr>
          <w:p w14:paraId="7FB4F87E" w14:textId="3E7204BD" w:rsidR="00CF32E6" w:rsidRPr="00651189" w:rsidRDefault="00CF32E6" w:rsidP="002F3FA6">
            <w:pPr>
              <w:pStyle w:val="TableText"/>
              <w:rPr>
                <w:rFonts w:ascii="Calibri" w:eastAsiaTheme="minorEastAsia" w:hAnsi="Calibri" w:cs="Calibri"/>
                <w:color w:val="000000" w:themeColor="text1"/>
              </w:rPr>
            </w:pPr>
            <w:r w:rsidRPr="2D217ECA">
              <w:rPr>
                <w:rFonts w:ascii="Calibri" w:eastAsiaTheme="minorEastAsia" w:hAnsi="Calibri" w:cs="Calibri"/>
              </w:rPr>
              <w:t>Agree on foundational dataset suitable to be shared by Commonwealth and jurisdictions on a b</w:t>
            </w:r>
            <w:r w:rsidR="00AD1E03">
              <w:rPr>
                <w:rFonts w:ascii="Calibri" w:eastAsiaTheme="minorEastAsia" w:hAnsi="Calibri" w:cs="Calibri"/>
              </w:rPr>
              <w:t>i</w:t>
            </w:r>
            <w:r w:rsidRPr="2D217ECA">
              <w:rPr>
                <w:rFonts w:ascii="Calibri" w:eastAsiaTheme="minorEastAsia" w:hAnsi="Calibri" w:cs="Calibri"/>
              </w:rPr>
              <w:t>-annual basis. This data will, in the first instance, be focussed on research and research findings and should build on data that is already available, where appropriate.</w:t>
            </w:r>
          </w:p>
        </w:tc>
        <w:tc>
          <w:tcPr>
            <w:tcW w:w="1489" w:type="dxa"/>
            <w:tcBorders>
              <w:top w:val="single" w:sz="4" w:space="0" w:color="auto"/>
              <w:bottom w:val="single" w:sz="4" w:space="0" w:color="auto"/>
            </w:tcBorders>
          </w:tcPr>
          <w:p w14:paraId="5CADF22F" w14:textId="77777777"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 states and territories</w:t>
            </w:r>
          </w:p>
        </w:tc>
        <w:tc>
          <w:tcPr>
            <w:tcW w:w="850" w:type="dxa"/>
            <w:tcBorders>
              <w:top w:val="single" w:sz="4" w:space="0" w:color="auto"/>
              <w:bottom w:val="single" w:sz="4" w:space="0" w:color="auto"/>
            </w:tcBorders>
          </w:tcPr>
          <w:p w14:paraId="1830CB05" w14:textId="35EC7043"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Oct</w:t>
            </w:r>
            <w:r w:rsidR="00CA6237">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26</w:t>
            </w:r>
          </w:p>
        </w:tc>
      </w:tr>
      <w:tr w:rsidR="00CF32E6" w:rsidRPr="00651189" w14:paraId="28105538" w14:textId="77777777" w:rsidTr="00CA6237">
        <w:tc>
          <w:tcPr>
            <w:tcW w:w="2268" w:type="dxa"/>
            <w:vMerge/>
            <w:tcMar>
              <w:left w:w="108" w:type="dxa"/>
              <w:right w:w="108" w:type="dxa"/>
            </w:tcMar>
          </w:tcPr>
          <w:p w14:paraId="69324249" w14:textId="77777777" w:rsidR="00CF32E6" w:rsidRPr="00651189" w:rsidRDefault="00CF32E6" w:rsidP="002F3FA6">
            <w:pPr>
              <w:pStyle w:val="TableText"/>
              <w:rPr>
                <w:rFonts w:ascii="Calibri" w:hAnsi="Calibri" w:cs="Calibri"/>
                <w:szCs w:val="18"/>
              </w:rPr>
            </w:pPr>
          </w:p>
        </w:tc>
        <w:tc>
          <w:tcPr>
            <w:tcW w:w="4607" w:type="dxa"/>
            <w:tcBorders>
              <w:top w:val="single" w:sz="4" w:space="0" w:color="auto"/>
              <w:left w:val="nil"/>
              <w:bottom w:val="single" w:sz="4" w:space="0" w:color="auto"/>
            </w:tcBorders>
            <w:tcMar>
              <w:left w:w="108" w:type="dxa"/>
              <w:right w:w="108" w:type="dxa"/>
            </w:tcMar>
          </w:tcPr>
          <w:p w14:paraId="4825CBA0" w14:textId="5A2728CC" w:rsidR="00CF32E6" w:rsidRPr="00651189" w:rsidRDefault="00CF32E6" w:rsidP="002F3FA6">
            <w:pPr>
              <w:pStyle w:val="TableText"/>
              <w:rPr>
                <w:rFonts w:ascii="Calibri" w:eastAsiaTheme="minorEastAsia" w:hAnsi="Calibri" w:cs="Calibri"/>
                <w:color w:val="000000" w:themeColor="text1"/>
              </w:rPr>
            </w:pPr>
            <w:r w:rsidRPr="2D217ECA">
              <w:rPr>
                <w:rFonts w:ascii="Calibri" w:eastAsiaTheme="minorEastAsia" w:hAnsi="Calibri" w:cs="Calibri"/>
              </w:rPr>
              <w:t>Complete viability assessment to determine if there is an existing data</w:t>
            </w:r>
            <w:r w:rsidR="00281BBB">
              <w:rPr>
                <w:rFonts w:ascii="Calibri" w:eastAsiaTheme="minorEastAsia" w:hAnsi="Calibri" w:cs="Calibri"/>
              </w:rPr>
              <w:t>-</w:t>
            </w:r>
            <w:r w:rsidRPr="2D217ECA">
              <w:rPr>
                <w:rFonts w:ascii="Calibri" w:eastAsiaTheme="minorEastAsia" w:hAnsi="Calibri" w:cs="Calibri"/>
              </w:rPr>
              <w:t>sharing platform which is a suitable platform to share this information publicly (e.g. Biosecurity Commons).</w:t>
            </w:r>
          </w:p>
        </w:tc>
        <w:tc>
          <w:tcPr>
            <w:tcW w:w="1489" w:type="dxa"/>
            <w:tcBorders>
              <w:top w:val="single" w:sz="4" w:space="0" w:color="auto"/>
              <w:bottom w:val="single" w:sz="4" w:space="0" w:color="auto"/>
            </w:tcBorders>
          </w:tcPr>
          <w:p w14:paraId="6D01A28C" w14:textId="77777777"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w:t>
            </w:r>
          </w:p>
        </w:tc>
        <w:tc>
          <w:tcPr>
            <w:tcW w:w="850" w:type="dxa"/>
            <w:tcBorders>
              <w:top w:val="single" w:sz="4" w:space="0" w:color="auto"/>
              <w:bottom w:val="single" w:sz="4" w:space="0" w:color="auto"/>
            </w:tcBorders>
          </w:tcPr>
          <w:p w14:paraId="72C5C480" w14:textId="7368865C"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Dec</w:t>
            </w:r>
            <w:r w:rsidR="00CA6237">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CF32E6" w:rsidRPr="00651189" w14:paraId="661568DB" w14:textId="77777777" w:rsidTr="00CA6237">
        <w:tc>
          <w:tcPr>
            <w:tcW w:w="2268" w:type="dxa"/>
            <w:vMerge w:val="restart"/>
            <w:tcBorders>
              <w:top w:val="single" w:sz="4" w:space="0" w:color="auto"/>
              <w:right w:val="nil"/>
            </w:tcBorders>
            <w:tcMar>
              <w:left w:w="108" w:type="dxa"/>
              <w:right w:w="108" w:type="dxa"/>
            </w:tcMar>
            <w:vAlign w:val="center"/>
          </w:tcPr>
          <w:p w14:paraId="15A1FC6B" w14:textId="77777777" w:rsidR="00CF32E6" w:rsidRPr="00651189" w:rsidRDefault="00CF32E6" w:rsidP="002F3FA6">
            <w:pPr>
              <w:pStyle w:val="TableText"/>
              <w:rPr>
                <w:rFonts w:ascii="Calibri" w:hAnsi="Calibri" w:cs="Calibri"/>
              </w:rPr>
            </w:pPr>
            <w:r w:rsidRPr="16A452E7">
              <w:rPr>
                <w:rFonts w:ascii="Calibri" w:hAnsi="Calibri" w:cs="Calibri"/>
              </w:rPr>
              <w:t>IA6.4 Enhance the accessibility and use of surveillance and interception data.</w:t>
            </w:r>
          </w:p>
        </w:tc>
        <w:tc>
          <w:tcPr>
            <w:tcW w:w="4607" w:type="dxa"/>
            <w:tcBorders>
              <w:top w:val="single" w:sz="4" w:space="0" w:color="auto"/>
              <w:left w:val="nil"/>
              <w:bottom w:val="single" w:sz="4" w:space="0" w:color="auto"/>
            </w:tcBorders>
            <w:tcMar>
              <w:left w:w="108" w:type="dxa"/>
              <w:right w:w="108" w:type="dxa"/>
            </w:tcMar>
          </w:tcPr>
          <w:p w14:paraId="025D5BC2" w14:textId="4F852162" w:rsidR="00CF32E6" w:rsidRPr="00651189" w:rsidRDefault="00CF32E6" w:rsidP="002F3FA6">
            <w:pPr>
              <w:pStyle w:val="TableText"/>
              <w:rPr>
                <w:rFonts w:ascii="Calibri" w:eastAsiaTheme="minorEastAsia" w:hAnsi="Calibri" w:cs="Calibri"/>
                <w:color w:val="000000" w:themeColor="text1"/>
              </w:rPr>
            </w:pPr>
            <w:r w:rsidRPr="2D217ECA">
              <w:rPr>
                <w:rFonts w:ascii="Calibri" w:eastAsiaTheme="minorEastAsia" w:hAnsi="Calibri" w:cs="Calibri"/>
              </w:rPr>
              <w:t>Develop a cross</w:t>
            </w:r>
            <w:r w:rsidR="00A956F2">
              <w:rPr>
                <w:rFonts w:ascii="Calibri" w:eastAsiaTheme="minorEastAsia" w:hAnsi="Calibri" w:cs="Calibri"/>
              </w:rPr>
              <w:t>-</w:t>
            </w:r>
            <w:r w:rsidRPr="2D217ECA">
              <w:rPr>
                <w:rFonts w:ascii="Calibri" w:eastAsiaTheme="minorEastAsia" w:hAnsi="Calibri" w:cs="Calibri"/>
              </w:rPr>
              <w:t>jurisdiction data</w:t>
            </w:r>
            <w:r w:rsidR="00317BF3">
              <w:rPr>
                <w:rFonts w:ascii="Calibri" w:eastAsiaTheme="minorEastAsia" w:hAnsi="Calibri" w:cs="Calibri"/>
              </w:rPr>
              <w:t>-</w:t>
            </w:r>
            <w:r w:rsidRPr="2D217ECA">
              <w:rPr>
                <w:rFonts w:ascii="Calibri" w:eastAsiaTheme="minorEastAsia" w:hAnsi="Calibri" w:cs="Calibri"/>
              </w:rPr>
              <w:t>sharing framework primarily focussed on sharing of surveillance and interception data between NBS signatories.</w:t>
            </w:r>
          </w:p>
        </w:tc>
        <w:tc>
          <w:tcPr>
            <w:tcW w:w="1489" w:type="dxa"/>
            <w:tcBorders>
              <w:top w:val="single" w:sz="4" w:space="0" w:color="auto"/>
              <w:bottom w:val="single" w:sz="4" w:space="0" w:color="auto"/>
            </w:tcBorders>
          </w:tcPr>
          <w:p w14:paraId="5295CE82" w14:textId="77777777"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w:t>
            </w:r>
          </w:p>
        </w:tc>
        <w:tc>
          <w:tcPr>
            <w:tcW w:w="850" w:type="dxa"/>
            <w:tcBorders>
              <w:top w:val="single" w:sz="4" w:space="0" w:color="auto"/>
              <w:bottom w:val="single" w:sz="4" w:space="0" w:color="auto"/>
            </w:tcBorders>
          </w:tcPr>
          <w:p w14:paraId="58203170" w14:textId="4A3AC77F"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Jun</w:t>
            </w:r>
            <w:r w:rsidR="00CA6237">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CF32E6" w:rsidRPr="00651189" w14:paraId="06501651" w14:textId="77777777" w:rsidTr="00CA6237">
        <w:tc>
          <w:tcPr>
            <w:tcW w:w="2268" w:type="dxa"/>
            <w:vMerge/>
            <w:tcMar>
              <w:left w:w="108" w:type="dxa"/>
              <w:right w:w="108" w:type="dxa"/>
            </w:tcMar>
          </w:tcPr>
          <w:p w14:paraId="5E648B39" w14:textId="77777777" w:rsidR="00CF32E6" w:rsidRPr="00651189" w:rsidRDefault="00CF32E6" w:rsidP="002F3FA6">
            <w:pPr>
              <w:pStyle w:val="TableText"/>
              <w:rPr>
                <w:rFonts w:ascii="Calibri" w:hAnsi="Calibri" w:cs="Calibri"/>
                <w:szCs w:val="18"/>
              </w:rPr>
            </w:pPr>
          </w:p>
        </w:tc>
        <w:tc>
          <w:tcPr>
            <w:tcW w:w="4607" w:type="dxa"/>
            <w:tcBorders>
              <w:top w:val="single" w:sz="4" w:space="0" w:color="auto"/>
              <w:left w:val="nil"/>
              <w:bottom w:val="single" w:sz="4" w:space="0" w:color="auto"/>
            </w:tcBorders>
            <w:tcMar>
              <w:left w:w="108" w:type="dxa"/>
              <w:right w:w="108" w:type="dxa"/>
            </w:tcMar>
          </w:tcPr>
          <w:p w14:paraId="523DF89A" w14:textId="066B7413" w:rsidR="00CF32E6" w:rsidRPr="00651189" w:rsidRDefault="00CF32E6" w:rsidP="002F3FA6">
            <w:pPr>
              <w:pStyle w:val="TableText"/>
              <w:rPr>
                <w:rFonts w:ascii="Calibri" w:eastAsiaTheme="minorEastAsia" w:hAnsi="Calibri" w:cs="Calibri"/>
                <w:color w:val="000000" w:themeColor="text1"/>
              </w:rPr>
            </w:pPr>
            <w:r w:rsidRPr="2D217ECA">
              <w:rPr>
                <w:rFonts w:ascii="Calibri" w:eastAsiaTheme="minorEastAsia" w:hAnsi="Calibri" w:cs="Calibri"/>
              </w:rPr>
              <w:t>Complete viability assessment to determine if there is an existing data</w:t>
            </w:r>
            <w:r w:rsidR="00281BBB">
              <w:rPr>
                <w:rFonts w:ascii="Calibri" w:eastAsiaTheme="minorEastAsia" w:hAnsi="Calibri" w:cs="Calibri"/>
              </w:rPr>
              <w:t>-</w:t>
            </w:r>
            <w:r w:rsidRPr="2D217ECA">
              <w:rPr>
                <w:rFonts w:ascii="Calibri" w:eastAsiaTheme="minorEastAsia" w:hAnsi="Calibri" w:cs="Calibri"/>
              </w:rPr>
              <w:t>sharing platform which is a suitable platform to share this information publicly (e.g.</w:t>
            </w:r>
            <w:r w:rsidR="00DB5404">
              <w:rPr>
                <w:rFonts w:ascii="Calibri" w:eastAsiaTheme="minorEastAsia" w:hAnsi="Calibri" w:cs="Calibri"/>
              </w:rPr>
              <w:t xml:space="preserve"> </w:t>
            </w:r>
            <w:r w:rsidR="00DB5404" w:rsidRPr="2D217ECA">
              <w:rPr>
                <w:rFonts w:ascii="Calibri" w:eastAsiaTheme="minorEastAsia" w:hAnsi="Calibri" w:cs="Calibri"/>
              </w:rPr>
              <w:t>AUSPest</w:t>
            </w:r>
            <w:r w:rsidR="00DB5404" w:rsidRPr="00700139">
              <w:rPr>
                <w:rFonts w:ascii="Calibri" w:eastAsiaTheme="minorEastAsia" w:hAnsi="Calibri" w:cs="Calibri"/>
                <w:i/>
                <w:iCs/>
              </w:rPr>
              <w:t>Check</w:t>
            </w:r>
            <w:r w:rsidR="00DB5404" w:rsidRPr="2D217ECA">
              <w:rPr>
                <w:rFonts w:ascii="Calibri" w:eastAsiaTheme="minorEastAsia" w:hAnsi="Calibri" w:cs="Calibri"/>
              </w:rPr>
              <w:t xml:space="preserve">®, </w:t>
            </w:r>
            <w:r w:rsidRPr="2D217ECA">
              <w:rPr>
                <w:rFonts w:ascii="Calibri" w:eastAsiaTheme="minorEastAsia" w:hAnsi="Calibri" w:cs="Calibri"/>
              </w:rPr>
              <w:t>Biosecurity Commons).</w:t>
            </w:r>
          </w:p>
        </w:tc>
        <w:tc>
          <w:tcPr>
            <w:tcW w:w="1489" w:type="dxa"/>
            <w:tcBorders>
              <w:top w:val="single" w:sz="4" w:space="0" w:color="auto"/>
              <w:bottom w:val="single" w:sz="4" w:space="0" w:color="auto"/>
            </w:tcBorders>
          </w:tcPr>
          <w:p w14:paraId="2E76FF31" w14:textId="1404432B"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w:t>
            </w:r>
          </w:p>
        </w:tc>
        <w:tc>
          <w:tcPr>
            <w:tcW w:w="850" w:type="dxa"/>
            <w:tcBorders>
              <w:top w:val="single" w:sz="4" w:space="0" w:color="auto"/>
              <w:bottom w:val="single" w:sz="4" w:space="0" w:color="auto"/>
            </w:tcBorders>
          </w:tcPr>
          <w:p w14:paraId="2628CD13" w14:textId="2CF5D85A"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Dec</w:t>
            </w:r>
            <w:r w:rsidR="00071026">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CF32E6" w:rsidRPr="00651189" w14:paraId="2C993CAA" w14:textId="77777777" w:rsidTr="00CA6237">
        <w:tc>
          <w:tcPr>
            <w:tcW w:w="2268" w:type="dxa"/>
            <w:tcBorders>
              <w:top w:val="single" w:sz="4" w:space="0" w:color="auto"/>
              <w:right w:val="nil"/>
            </w:tcBorders>
            <w:tcMar>
              <w:left w:w="108" w:type="dxa"/>
              <w:right w:w="108" w:type="dxa"/>
            </w:tcMar>
            <w:vAlign w:val="center"/>
          </w:tcPr>
          <w:p w14:paraId="4974CEAF" w14:textId="77777777" w:rsidR="00CF32E6" w:rsidRPr="00651189" w:rsidRDefault="00CF32E6" w:rsidP="002F3FA6">
            <w:pPr>
              <w:pStyle w:val="TableText"/>
              <w:rPr>
                <w:rFonts w:ascii="Calibri" w:hAnsi="Calibri" w:cs="Calibri"/>
              </w:rPr>
            </w:pPr>
            <w:r w:rsidRPr="16A452E7">
              <w:rPr>
                <w:rFonts w:ascii="Calibri" w:hAnsi="Calibri" w:cs="Calibri"/>
              </w:rPr>
              <w:t>IA6.5 Further support innovations to build science and research capacity.</w:t>
            </w:r>
          </w:p>
        </w:tc>
        <w:tc>
          <w:tcPr>
            <w:tcW w:w="4607" w:type="dxa"/>
            <w:tcBorders>
              <w:top w:val="single" w:sz="4" w:space="0" w:color="auto"/>
              <w:left w:val="nil"/>
              <w:bottom w:val="single" w:sz="4" w:space="0" w:color="auto"/>
            </w:tcBorders>
            <w:tcMar>
              <w:left w:w="108" w:type="dxa"/>
              <w:right w:w="108" w:type="dxa"/>
            </w:tcMar>
          </w:tcPr>
          <w:p w14:paraId="2129DE53" w14:textId="01681E91"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 xml:space="preserve">Implement a collaborative </w:t>
            </w:r>
            <w:r w:rsidR="006527FC">
              <w:rPr>
                <w:rFonts w:ascii="Calibri" w:eastAsiaTheme="minorEastAsia" w:hAnsi="Calibri" w:cs="Calibri"/>
                <w:color w:val="000000" w:themeColor="text1"/>
              </w:rPr>
              <w:t xml:space="preserve">and nationally inclusive </w:t>
            </w:r>
            <w:r w:rsidRPr="0590BA0B">
              <w:rPr>
                <w:rFonts w:ascii="Calibri" w:eastAsiaTheme="minorEastAsia" w:hAnsi="Calibri" w:cs="Calibri"/>
                <w:color w:val="000000" w:themeColor="text1"/>
              </w:rPr>
              <w:t xml:space="preserve">approach to fund innovation projects and ideas to </w:t>
            </w:r>
            <w:r w:rsidR="00833ED2">
              <w:rPr>
                <w:rFonts w:ascii="Calibri" w:eastAsiaTheme="minorEastAsia" w:hAnsi="Calibri" w:cs="Calibri"/>
                <w:color w:val="000000" w:themeColor="text1"/>
              </w:rPr>
              <w:t>strengthen</w:t>
            </w:r>
            <w:r w:rsidRPr="0590BA0B">
              <w:rPr>
                <w:rFonts w:ascii="Calibri" w:eastAsiaTheme="minorEastAsia" w:hAnsi="Calibri" w:cs="Calibri"/>
                <w:color w:val="000000" w:themeColor="text1"/>
              </w:rPr>
              <w:t xml:space="preserve"> our biosecurity system. Report regularly on innovation projects being delivered and share findings.</w:t>
            </w:r>
          </w:p>
        </w:tc>
        <w:tc>
          <w:tcPr>
            <w:tcW w:w="1489" w:type="dxa"/>
            <w:tcBorders>
              <w:top w:val="single" w:sz="4" w:space="0" w:color="auto"/>
              <w:bottom w:val="single" w:sz="4" w:space="0" w:color="auto"/>
            </w:tcBorders>
          </w:tcPr>
          <w:p w14:paraId="5E42EC51" w14:textId="77777777"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w:t>
            </w:r>
          </w:p>
        </w:tc>
        <w:tc>
          <w:tcPr>
            <w:tcW w:w="850" w:type="dxa"/>
            <w:tcBorders>
              <w:top w:val="single" w:sz="4" w:space="0" w:color="auto"/>
              <w:bottom w:val="single" w:sz="4" w:space="0" w:color="auto"/>
            </w:tcBorders>
          </w:tcPr>
          <w:p w14:paraId="4870DB48" w14:textId="31F8D2CC"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Dec</w:t>
            </w:r>
            <w:r w:rsidR="00071026">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24</w:t>
            </w:r>
          </w:p>
        </w:tc>
      </w:tr>
      <w:tr w:rsidR="0058188D" w:rsidRPr="00651189" w14:paraId="17F5201A" w14:textId="77777777" w:rsidTr="00CA6237">
        <w:tc>
          <w:tcPr>
            <w:tcW w:w="2268" w:type="dxa"/>
            <w:tcBorders>
              <w:top w:val="single" w:sz="4" w:space="0" w:color="auto"/>
              <w:bottom w:val="single" w:sz="4" w:space="0" w:color="auto"/>
              <w:right w:val="nil"/>
            </w:tcBorders>
            <w:tcMar>
              <w:left w:w="108" w:type="dxa"/>
              <w:right w:w="108" w:type="dxa"/>
            </w:tcMar>
            <w:vAlign w:val="center"/>
          </w:tcPr>
          <w:p w14:paraId="3978452C" w14:textId="05AD8F64" w:rsidR="0058188D" w:rsidRPr="16A452E7" w:rsidRDefault="0058188D" w:rsidP="00CA6237">
            <w:pPr>
              <w:pStyle w:val="TableText"/>
              <w:keepNext/>
              <w:rPr>
                <w:rFonts w:ascii="Calibri" w:hAnsi="Calibri" w:cs="Calibri"/>
              </w:rPr>
            </w:pPr>
            <w:r>
              <w:rPr>
                <w:rFonts w:ascii="Calibri" w:hAnsi="Calibri" w:cs="Calibri"/>
              </w:rPr>
              <w:lastRenderedPageBreak/>
              <w:t>IA6.6 Encourage the uptake of existing and emerging technologies</w:t>
            </w:r>
            <w:r w:rsidR="00AB1779">
              <w:rPr>
                <w:rFonts w:ascii="Calibri" w:hAnsi="Calibri" w:cs="Calibri"/>
              </w:rPr>
              <w:t>, systems and processes across the biosecurity system</w:t>
            </w:r>
            <w:r w:rsidR="00B051D1">
              <w:rPr>
                <w:rFonts w:ascii="Calibri" w:hAnsi="Calibri" w:cs="Calibri"/>
              </w:rPr>
              <w:t>.</w:t>
            </w:r>
          </w:p>
        </w:tc>
        <w:tc>
          <w:tcPr>
            <w:tcW w:w="4607" w:type="dxa"/>
            <w:tcBorders>
              <w:top w:val="single" w:sz="4" w:space="0" w:color="auto"/>
              <w:left w:val="nil"/>
              <w:bottom w:val="single" w:sz="4" w:space="0" w:color="auto"/>
            </w:tcBorders>
            <w:tcMar>
              <w:left w:w="108" w:type="dxa"/>
              <w:right w:w="108" w:type="dxa"/>
            </w:tcMar>
          </w:tcPr>
          <w:p w14:paraId="56028239" w14:textId="16959C92" w:rsidR="0058188D" w:rsidRPr="0590BA0B" w:rsidRDefault="003061B0" w:rsidP="00CA6237">
            <w:pPr>
              <w:pStyle w:val="TableText"/>
              <w:keepNext/>
              <w:rPr>
                <w:rFonts w:ascii="Calibri" w:eastAsiaTheme="minorEastAsia" w:hAnsi="Calibri" w:cs="Calibri"/>
                <w:color w:val="000000" w:themeColor="text1"/>
              </w:rPr>
            </w:pPr>
            <w:r>
              <w:rPr>
                <w:rFonts w:ascii="Calibri" w:eastAsiaTheme="minorEastAsia" w:hAnsi="Calibri" w:cs="Calibri"/>
                <w:color w:val="000000" w:themeColor="text1"/>
              </w:rPr>
              <w:t>Leverage the industry, community and government initi</w:t>
            </w:r>
            <w:r w:rsidR="005679DC">
              <w:rPr>
                <w:rFonts w:ascii="Calibri" w:eastAsiaTheme="minorEastAsia" w:hAnsi="Calibri" w:cs="Calibri"/>
                <w:color w:val="000000" w:themeColor="text1"/>
              </w:rPr>
              <w:t>atives to support the uptake of emerging technologies</w:t>
            </w:r>
            <w:r w:rsidR="00074270">
              <w:rPr>
                <w:rFonts w:ascii="Calibri" w:eastAsiaTheme="minorEastAsia" w:hAnsi="Calibri" w:cs="Calibri"/>
                <w:color w:val="000000" w:themeColor="text1"/>
              </w:rPr>
              <w:t>, systems and processes</w:t>
            </w:r>
            <w:r w:rsidR="001464C8">
              <w:rPr>
                <w:rFonts w:ascii="Calibri" w:eastAsiaTheme="minorEastAsia" w:hAnsi="Calibri" w:cs="Calibri"/>
                <w:color w:val="000000" w:themeColor="text1"/>
              </w:rPr>
              <w:t>.</w:t>
            </w:r>
          </w:p>
        </w:tc>
        <w:tc>
          <w:tcPr>
            <w:tcW w:w="1489" w:type="dxa"/>
            <w:tcBorders>
              <w:top w:val="single" w:sz="4" w:space="0" w:color="auto"/>
              <w:bottom w:val="single" w:sz="4" w:space="0" w:color="auto"/>
            </w:tcBorders>
          </w:tcPr>
          <w:p w14:paraId="394AAB5C" w14:textId="024C26CD" w:rsidR="0058188D" w:rsidRPr="0590BA0B" w:rsidRDefault="001464C8">
            <w:pPr>
              <w:pStyle w:val="TableText"/>
              <w:rPr>
                <w:rFonts w:ascii="Calibri" w:eastAsiaTheme="minorEastAsia" w:hAnsi="Calibri" w:cs="Calibri"/>
                <w:color w:val="000000" w:themeColor="text1"/>
              </w:rPr>
            </w:pPr>
            <w:r>
              <w:rPr>
                <w:rFonts w:ascii="Calibri" w:eastAsiaTheme="minorEastAsia" w:hAnsi="Calibri" w:cs="Calibri"/>
                <w:color w:val="000000" w:themeColor="text1"/>
              </w:rPr>
              <w:t>Commonwealth</w:t>
            </w:r>
          </w:p>
        </w:tc>
        <w:tc>
          <w:tcPr>
            <w:tcW w:w="850" w:type="dxa"/>
            <w:tcBorders>
              <w:top w:val="single" w:sz="4" w:space="0" w:color="auto"/>
              <w:bottom w:val="single" w:sz="4" w:space="0" w:color="auto"/>
            </w:tcBorders>
          </w:tcPr>
          <w:p w14:paraId="009CBC6C" w14:textId="78E4C599" w:rsidR="0058188D" w:rsidRPr="0590BA0B" w:rsidRDefault="00415E1C">
            <w:pPr>
              <w:pStyle w:val="TableText"/>
              <w:rPr>
                <w:rFonts w:ascii="Calibri" w:eastAsiaTheme="minorEastAsia" w:hAnsi="Calibri" w:cs="Calibri"/>
                <w:color w:val="000000" w:themeColor="text1"/>
              </w:rPr>
            </w:pPr>
            <w:r>
              <w:rPr>
                <w:rFonts w:ascii="Calibri" w:eastAsiaTheme="minorEastAsia" w:hAnsi="Calibri" w:cs="Calibri"/>
                <w:color w:val="000000" w:themeColor="text1"/>
              </w:rPr>
              <w:t>Dec 2024</w:t>
            </w:r>
          </w:p>
        </w:tc>
      </w:tr>
      <w:tr w:rsidR="00CF32E6" w:rsidRPr="00651189" w14:paraId="64291C37" w14:textId="77777777" w:rsidTr="00CA6237">
        <w:tc>
          <w:tcPr>
            <w:tcW w:w="2268" w:type="dxa"/>
            <w:tcBorders>
              <w:top w:val="single" w:sz="4" w:space="0" w:color="auto"/>
              <w:bottom w:val="single" w:sz="4" w:space="0" w:color="auto"/>
              <w:right w:val="nil"/>
            </w:tcBorders>
            <w:tcMar>
              <w:left w:w="108" w:type="dxa"/>
              <w:right w:w="108" w:type="dxa"/>
            </w:tcMar>
            <w:vAlign w:val="center"/>
          </w:tcPr>
          <w:p w14:paraId="38280713" w14:textId="7F3FC405" w:rsidR="00CF32E6" w:rsidRPr="00651189" w:rsidRDefault="00CF32E6" w:rsidP="00CA6237">
            <w:pPr>
              <w:pStyle w:val="TableText"/>
              <w:keepNext/>
              <w:rPr>
                <w:rFonts w:ascii="Calibri" w:hAnsi="Calibri" w:cs="Calibri"/>
              </w:rPr>
            </w:pPr>
            <w:r w:rsidRPr="16A452E7">
              <w:rPr>
                <w:rFonts w:ascii="Calibri" w:hAnsi="Calibri" w:cs="Calibri"/>
              </w:rPr>
              <w:t>IA6.</w:t>
            </w:r>
            <w:r w:rsidR="003F3843">
              <w:rPr>
                <w:rFonts w:ascii="Calibri" w:hAnsi="Calibri" w:cs="Calibri"/>
              </w:rPr>
              <w:t>7</w:t>
            </w:r>
            <w:r w:rsidRPr="16A452E7">
              <w:rPr>
                <w:rFonts w:ascii="Calibri" w:hAnsi="Calibri" w:cs="Calibri"/>
              </w:rPr>
              <w:t xml:space="preserve"> Increase the use of citizen science, Indigenous knowledge and on the ground insights.</w:t>
            </w:r>
          </w:p>
        </w:tc>
        <w:tc>
          <w:tcPr>
            <w:tcW w:w="4607" w:type="dxa"/>
            <w:tcBorders>
              <w:top w:val="single" w:sz="4" w:space="0" w:color="auto"/>
              <w:left w:val="nil"/>
              <w:bottom w:val="single" w:sz="4" w:space="0" w:color="auto"/>
            </w:tcBorders>
            <w:tcMar>
              <w:left w:w="108" w:type="dxa"/>
              <w:right w:w="108" w:type="dxa"/>
            </w:tcMar>
          </w:tcPr>
          <w:p w14:paraId="72A43067" w14:textId="0F3ADE88" w:rsidR="00CF32E6" w:rsidRPr="00651189" w:rsidRDefault="00CF32E6" w:rsidP="00CA6237">
            <w:pPr>
              <w:pStyle w:val="TableText"/>
              <w:keepNext/>
              <w:rPr>
                <w:rFonts w:ascii="Calibri" w:eastAsiaTheme="minorEastAsia" w:hAnsi="Calibri" w:cs="Calibri"/>
                <w:color w:val="000000" w:themeColor="text1"/>
              </w:rPr>
            </w:pPr>
            <w:r w:rsidRPr="0590BA0B">
              <w:rPr>
                <w:rFonts w:ascii="Calibri" w:eastAsiaTheme="minorEastAsia" w:hAnsi="Calibri" w:cs="Calibri"/>
                <w:color w:val="000000" w:themeColor="text1"/>
              </w:rPr>
              <w:t>Government, researchers, community, and other relevant entities to increase and promote citizen science initiatives and activ</w:t>
            </w:r>
            <w:r w:rsidR="00263E47">
              <w:rPr>
                <w:rFonts w:ascii="Calibri" w:eastAsiaTheme="minorEastAsia" w:hAnsi="Calibri" w:cs="Calibri"/>
                <w:color w:val="000000" w:themeColor="text1"/>
              </w:rPr>
              <w:t>ely</w:t>
            </w:r>
            <w:r w:rsidRPr="0590BA0B">
              <w:rPr>
                <w:rFonts w:ascii="Calibri" w:eastAsiaTheme="minorEastAsia" w:hAnsi="Calibri" w:cs="Calibri"/>
                <w:color w:val="000000" w:themeColor="text1"/>
              </w:rPr>
              <w:t xml:space="preserve"> engage local government. This will broaden data collection and bring local expertise and experience to identifying change and anomalies in the landscape.</w:t>
            </w:r>
          </w:p>
        </w:tc>
        <w:tc>
          <w:tcPr>
            <w:tcW w:w="1489" w:type="dxa"/>
            <w:tcBorders>
              <w:top w:val="single" w:sz="4" w:space="0" w:color="auto"/>
              <w:bottom w:val="single" w:sz="4" w:space="0" w:color="auto"/>
            </w:tcBorders>
          </w:tcPr>
          <w:p w14:paraId="1FE1CAB8" w14:textId="77777777"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National Biosecurity Committee Environment and Invasive Committee</w:t>
            </w:r>
          </w:p>
        </w:tc>
        <w:tc>
          <w:tcPr>
            <w:tcW w:w="850" w:type="dxa"/>
            <w:tcBorders>
              <w:top w:val="single" w:sz="4" w:space="0" w:color="auto"/>
              <w:bottom w:val="single" w:sz="4" w:space="0" w:color="auto"/>
            </w:tcBorders>
          </w:tcPr>
          <w:p w14:paraId="342AAC84" w14:textId="38CBBCE9"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Jun</w:t>
            </w:r>
            <w:r w:rsidR="00071026">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r w:rsidR="00CF32E6" w:rsidRPr="00651189" w14:paraId="23E700C7" w14:textId="77777777" w:rsidTr="00CA6237">
        <w:tc>
          <w:tcPr>
            <w:tcW w:w="2268" w:type="dxa"/>
            <w:tcBorders>
              <w:top w:val="single" w:sz="4" w:space="0" w:color="auto"/>
              <w:bottom w:val="single" w:sz="4" w:space="0" w:color="auto"/>
              <w:right w:val="nil"/>
            </w:tcBorders>
            <w:tcMar>
              <w:left w:w="108" w:type="dxa"/>
              <w:right w:w="108" w:type="dxa"/>
            </w:tcMar>
            <w:vAlign w:val="center"/>
          </w:tcPr>
          <w:p w14:paraId="182C6923" w14:textId="2F79F65C" w:rsidR="00CF32E6" w:rsidRPr="00651189" w:rsidRDefault="00CF32E6" w:rsidP="002F3FA6">
            <w:pPr>
              <w:pStyle w:val="TableText"/>
              <w:rPr>
                <w:rFonts w:ascii="Calibri" w:hAnsi="Calibri" w:cs="Calibri"/>
              </w:rPr>
            </w:pPr>
            <w:r w:rsidRPr="16A452E7">
              <w:rPr>
                <w:rFonts w:ascii="Calibri" w:hAnsi="Calibri" w:cs="Calibri"/>
              </w:rPr>
              <w:t>IA6.</w:t>
            </w:r>
            <w:r w:rsidR="003F3843">
              <w:rPr>
                <w:rFonts w:ascii="Calibri" w:hAnsi="Calibri" w:cs="Calibri"/>
              </w:rPr>
              <w:t>8</w:t>
            </w:r>
            <w:r w:rsidRPr="16A452E7">
              <w:rPr>
                <w:rFonts w:ascii="Calibri" w:hAnsi="Calibri" w:cs="Calibri"/>
              </w:rPr>
              <w:t xml:space="preserve"> Encourage greater private sector investment in the development and delivery of biosecurity innovations.</w:t>
            </w:r>
          </w:p>
        </w:tc>
        <w:tc>
          <w:tcPr>
            <w:tcW w:w="4607" w:type="dxa"/>
            <w:tcBorders>
              <w:top w:val="single" w:sz="4" w:space="0" w:color="auto"/>
              <w:left w:val="nil"/>
              <w:bottom w:val="single" w:sz="4" w:space="0" w:color="auto"/>
            </w:tcBorders>
            <w:tcMar>
              <w:left w:w="108" w:type="dxa"/>
              <w:right w:w="108" w:type="dxa"/>
            </w:tcMar>
          </w:tcPr>
          <w:p w14:paraId="7ACA208E" w14:textId="47CD9B33"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Implement a new Australian Biosecurity Research Database to collate and promote biosecurity research and development investments.</w:t>
            </w:r>
          </w:p>
        </w:tc>
        <w:tc>
          <w:tcPr>
            <w:tcW w:w="1489" w:type="dxa"/>
            <w:tcBorders>
              <w:top w:val="single" w:sz="4" w:space="0" w:color="auto"/>
              <w:bottom w:val="single" w:sz="4" w:space="0" w:color="auto"/>
            </w:tcBorders>
          </w:tcPr>
          <w:p w14:paraId="374FD44F" w14:textId="77777777"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Commonwealth</w:t>
            </w:r>
          </w:p>
        </w:tc>
        <w:tc>
          <w:tcPr>
            <w:tcW w:w="850" w:type="dxa"/>
            <w:tcBorders>
              <w:top w:val="single" w:sz="4" w:space="0" w:color="auto"/>
              <w:bottom w:val="single" w:sz="4" w:space="0" w:color="auto"/>
            </w:tcBorders>
          </w:tcPr>
          <w:p w14:paraId="0C90A3C2" w14:textId="43F8D095" w:rsidR="00CF32E6" w:rsidRPr="00651189" w:rsidRDefault="00CF32E6" w:rsidP="002F3FA6">
            <w:pPr>
              <w:pStyle w:val="TableText"/>
              <w:rPr>
                <w:rFonts w:ascii="Calibri" w:eastAsiaTheme="minorEastAsia" w:hAnsi="Calibri" w:cs="Calibri"/>
                <w:color w:val="000000" w:themeColor="text1"/>
              </w:rPr>
            </w:pPr>
            <w:r w:rsidRPr="0590BA0B">
              <w:rPr>
                <w:rFonts w:ascii="Calibri" w:eastAsiaTheme="minorEastAsia" w:hAnsi="Calibri" w:cs="Calibri"/>
                <w:color w:val="000000" w:themeColor="text1"/>
              </w:rPr>
              <w:t>Mar</w:t>
            </w:r>
            <w:r w:rsidR="00071026">
              <w:rPr>
                <w:rFonts w:ascii="Calibri" w:eastAsiaTheme="minorEastAsia" w:hAnsi="Calibri" w:cs="Calibri"/>
                <w:color w:val="000000" w:themeColor="text1"/>
              </w:rPr>
              <w:t xml:space="preserve"> 20</w:t>
            </w:r>
            <w:r w:rsidRPr="0590BA0B">
              <w:rPr>
                <w:rFonts w:ascii="Calibri" w:eastAsiaTheme="minorEastAsia" w:hAnsi="Calibri" w:cs="Calibri"/>
                <w:color w:val="000000" w:themeColor="text1"/>
              </w:rPr>
              <w:t>25</w:t>
            </w:r>
          </w:p>
        </w:tc>
      </w:tr>
    </w:tbl>
    <w:p w14:paraId="759D3C00" w14:textId="77777777" w:rsidR="00744D64" w:rsidRDefault="00744D64" w:rsidP="00744D64">
      <w:pPr>
        <w:pStyle w:val="Heading2"/>
        <w:numPr>
          <w:ilvl w:val="0"/>
          <w:numId w:val="0"/>
        </w:numPr>
        <w:ind w:left="720" w:hanging="720"/>
      </w:pPr>
      <w:bookmarkStart w:id="34" w:name="_Toc174097863"/>
      <w:bookmarkStart w:id="35" w:name="_Hlk172296866"/>
      <w:r>
        <w:lastRenderedPageBreak/>
        <w:t>Monitoring and evaluation</w:t>
      </w:r>
      <w:bookmarkEnd w:id="34"/>
    </w:p>
    <w:bookmarkEnd w:id="35"/>
    <w:p w14:paraId="1D937B77" w14:textId="01C878E5" w:rsidR="00CF32E6" w:rsidRDefault="00317BF3" w:rsidP="00744D64">
      <w:pPr>
        <w:rPr>
          <w:lang w:eastAsia="ja-JP"/>
        </w:rPr>
      </w:pPr>
      <w:r w:rsidRPr="00317BF3">
        <w:rPr>
          <w:lang w:eastAsia="ja-JP"/>
        </w:rPr>
        <w:t xml:space="preserve">Following endorsement of this plan, a monitoring and evaluation framework will be developed to support this </w:t>
      </w:r>
      <w:r>
        <w:rPr>
          <w:lang w:eastAsia="ja-JP"/>
        </w:rPr>
        <w:t>a</w:t>
      </w:r>
      <w:r w:rsidRPr="00317BF3">
        <w:rPr>
          <w:lang w:eastAsia="ja-JP"/>
        </w:rPr>
        <w:t xml:space="preserve">ction </w:t>
      </w:r>
      <w:r>
        <w:rPr>
          <w:lang w:eastAsia="ja-JP"/>
        </w:rPr>
        <w:t>p</w:t>
      </w:r>
      <w:r w:rsidRPr="00317BF3">
        <w:rPr>
          <w:lang w:eastAsia="ja-JP"/>
        </w:rPr>
        <w:t>lan. The purpose of the monitoring and evaluation framework will be to ensure transparency into the implementation of the NBS. The framework will deliver a tangible record of what is achieved. The framework will guide collection of information on activity progress and impact towards the NBS vision.</w:t>
      </w:r>
    </w:p>
    <w:p w14:paraId="4FC0AA99" w14:textId="2D17B97F" w:rsidR="00764D6A" w:rsidRDefault="00E91D72" w:rsidP="007E39EF">
      <w:pPr>
        <w:pStyle w:val="Heading2"/>
        <w:numPr>
          <w:ilvl w:val="0"/>
          <w:numId w:val="0"/>
        </w:numPr>
      </w:pPr>
      <w:bookmarkStart w:id="36" w:name="_Appendix_A:_NBS"/>
      <w:bookmarkStart w:id="37" w:name="_Toc430782160"/>
      <w:bookmarkStart w:id="38" w:name="_Toc174097864"/>
      <w:bookmarkEnd w:id="36"/>
      <w:r>
        <w:lastRenderedPageBreak/>
        <w:t xml:space="preserve">Appendix A: </w:t>
      </w:r>
      <w:bookmarkEnd w:id="37"/>
      <w:r w:rsidR="00CC66FC" w:rsidRPr="00CC66FC">
        <w:t>NBS priority areas and initial actions</w:t>
      </w:r>
      <w:bookmarkEnd w:id="38"/>
    </w:p>
    <w:p w14:paraId="2D5D915D" w14:textId="233D8B3A" w:rsidR="00764D6A" w:rsidRDefault="00E91D72">
      <w:pPr>
        <w:pStyle w:val="Caption"/>
      </w:pPr>
      <w:bookmarkStart w:id="39" w:name="_Toc401230265"/>
      <w:bookmarkStart w:id="40" w:name="_Toc172303492"/>
      <w:r>
        <w:t>Table A</w:t>
      </w:r>
      <w:r>
        <w:rPr>
          <w:noProof/>
        </w:rPr>
        <w:fldChar w:fldCharType="begin"/>
      </w:r>
      <w:r>
        <w:rPr>
          <w:noProof/>
        </w:rPr>
        <w:instrText xml:space="preserve"> SEQ Table_A \* ARABIC </w:instrText>
      </w:r>
      <w:r>
        <w:rPr>
          <w:noProof/>
        </w:rPr>
        <w:fldChar w:fldCharType="separate"/>
      </w:r>
      <w:r w:rsidR="006072E5">
        <w:rPr>
          <w:noProof/>
        </w:rPr>
        <w:t>1</w:t>
      </w:r>
      <w:r>
        <w:rPr>
          <w:noProof/>
        </w:rPr>
        <w:fldChar w:fldCharType="end"/>
      </w:r>
      <w:r>
        <w:t xml:space="preserve"> </w:t>
      </w:r>
      <w:bookmarkEnd w:id="39"/>
      <w:r w:rsidR="00CC66FC" w:rsidRPr="00CC66FC">
        <w:t>Priority areas and 36 initial actions outlined in the NBS</w:t>
      </w:r>
      <w:bookmarkEnd w:id="40"/>
    </w:p>
    <w:tbl>
      <w:tblPr>
        <w:tblpPr w:leftFromText="180" w:rightFromText="180" w:vertAnchor="text" w:horzAnchor="margin" w:tblpY="-2"/>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275"/>
        <w:gridCol w:w="7795"/>
      </w:tblGrid>
      <w:tr w:rsidR="00CC66FC" w:rsidRPr="008D7573" w14:paraId="63DCDC4D" w14:textId="77777777" w:rsidTr="00CC66FC">
        <w:trPr>
          <w:cantSplit/>
          <w:tblHeader/>
        </w:trPr>
        <w:tc>
          <w:tcPr>
            <w:tcW w:w="703" w:type="pct"/>
            <w:tcMar>
              <w:left w:w="108" w:type="dxa"/>
              <w:right w:w="108" w:type="dxa"/>
            </w:tcMar>
          </w:tcPr>
          <w:p w14:paraId="3EE188A5" w14:textId="77777777" w:rsidR="00CC66FC" w:rsidRPr="008D7573" w:rsidRDefault="00CC66FC" w:rsidP="002F3FA6">
            <w:pPr>
              <w:pStyle w:val="TableHeading"/>
              <w:rPr>
                <w:sz w:val="17"/>
                <w:szCs w:val="17"/>
              </w:rPr>
            </w:pPr>
            <w:bookmarkStart w:id="41" w:name="Title_A1"/>
            <w:bookmarkStart w:id="42" w:name="_Hlk172295885"/>
            <w:bookmarkStart w:id="43" w:name="_Hlk142298058"/>
            <w:bookmarkEnd w:id="41"/>
            <w:r w:rsidRPr="008D7573">
              <w:rPr>
                <w:sz w:val="17"/>
                <w:szCs w:val="17"/>
              </w:rPr>
              <w:t>Priority areas</w:t>
            </w:r>
          </w:p>
        </w:tc>
        <w:tc>
          <w:tcPr>
            <w:tcW w:w="4297" w:type="pct"/>
            <w:tcMar>
              <w:left w:w="108" w:type="dxa"/>
              <w:right w:w="108" w:type="dxa"/>
            </w:tcMar>
          </w:tcPr>
          <w:p w14:paraId="6D43FA0E" w14:textId="5DA6FF47" w:rsidR="00CC66FC" w:rsidRPr="008D7573" w:rsidRDefault="00CC66FC" w:rsidP="002F3FA6">
            <w:pPr>
              <w:pStyle w:val="TableHeading"/>
              <w:rPr>
                <w:sz w:val="17"/>
                <w:szCs w:val="17"/>
                <w:highlight w:val="yellow"/>
              </w:rPr>
            </w:pPr>
            <w:r w:rsidRPr="008D7573">
              <w:rPr>
                <w:sz w:val="17"/>
                <w:szCs w:val="17"/>
              </w:rPr>
              <w:t>Initial actions</w:t>
            </w:r>
          </w:p>
        </w:tc>
      </w:tr>
      <w:bookmarkEnd w:id="42"/>
      <w:tr w:rsidR="00CC66FC" w:rsidRPr="008D7573" w14:paraId="4134467D" w14:textId="77777777" w:rsidTr="00CC66FC">
        <w:tc>
          <w:tcPr>
            <w:tcW w:w="703" w:type="pct"/>
            <w:tcMar>
              <w:left w:w="108" w:type="dxa"/>
              <w:right w:w="108" w:type="dxa"/>
            </w:tcMar>
          </w:tcPr>
          <w:p w14:paraId="2AFC617F" w14:textId="77777777" w:rsidR="00CC66FC" w:rsidRPr="00CC66FC" w:rsidRDefault="00CC66FC" w:rsidP="00CC66FC">
            <w:pPr>
              <w:pStyle w:val="TableText"/>
              <w:rPr>
                <w:sz w:val="17"/>
                <w:szCs w:val="17"/>
              </w:rPr>
            </w:pPr>
            <w:r w:rsidRPr="00CC66FC">
              <w:rPr>
                <w:sz w:val="17"/>
                <w:szCs w:val="17"/>
              </w:rPr>
              <w:t>Shared biosecurity culture</w:t>
            </w:r>
          </w:p>
        </w:tc>
        <w:tc>
          <w:tcPr>
            <w:tcW w:w="4297" w:type="pct"/>
            <w:tcMar>
              <w:left w:w="108" w:type="dxa"/>
              <w:right w:w="108" w:type="dxa"/>
            </w:tcMar>
          </w:tcPr>
          <w:p w14:paraId="2F3511B7" w14:textId="77777777" w:rsidR="00CC66FC" w:rsidRPr="00CC66FC" w:rsidRDefault="00CC66FC" w:rsidP="00CC66FC">
            <w:pPr>
              <w:pStyle w:val="TableText"/>
              <w:rPr>
                <w:sz w:val="17"/>
                <w:szCs w:val="17"/>
              </w:rPr>
            </w:pPr>
            <w:r w:rsidRPr="00CC66FC">
              <w:rPr>
                <w:sz w:val="17"/>
                <w:szCs w:val="17"/>
              </w:rPr>
              <w:t>IA1.1: Build on and develop national awareness and education programs</w:t>
            </w:r>
          </w:p>
          <w:p w14:paraId="21F56563" w14:textId="77777777" w:rsidR="00CC66FC" w:rsidRPr="00CC66FC" w:rsidRDefault="00CC66FC" w:rsidP="00CC66FC">
            <w:pPr>
              <w:pStyle w:val="TableText"/>
              <w:rPr>
                <w:sz w:val="17"/>
                <w:szCs w:val="17"/>
              </w:rPr>
            </w:pPr>
            <w:r w:rsidRPr="00CC66FC">
              <w:rPr>
                <w:sz w:val="17"/>
                <w:szCs w:val="17"/>
              </w:rPr>
              <w:t>IA1.2: Drive positive biosecurity behaviours and incentivise compliance</w:t>
            </w:r>
          </w:p>
          <w:p w14:paraId="5E3F3A84" w14:textId="77777777" w:rsidR="00CC66FC" w:rsidRPr="00CC66FC" w:rsidRDefault="00CC66FC" w:rsidP="00CC66FC">
            <w:pPr>
              <w:pStyle w:val="TableText"/>
              <w:rPr>
                <w:sz w:val="17"/>
                <w:szCs w:val="17"/>
              </w:rPr>
            </w:pPr>
            <w:r w:rsidRPr="00CC66FC">
              <w:rPr>
                <w:sz w:val="17"/>
                <w:szCs w:val="17"/>
              </w:rPr>
              <w:t>IA1.3: Revitalise national communication, engagement and reporting mechanisms</w:t>
            </w:r>
          </w:p>
          <w:p w14:paraId="3AB4B298" w14:textId="77777777" w:rsidR="00CC66FC" w:rsidRPr="00CC66FC" w:rsidRDefault="00CC66FC" w:rsidP="00CC66FC">
            <w:pPr>
              <w:pStyle w:val="TableText"/>
              <w:rPr>
                <w:sz w:val="17"/>
                <w:szCs w:val="17"/>
              </w:rPr>
            </w:pPr>
            <w:r w:rsidRPr="00CC66FC">
              <w:rPr>
                <w:sz w:val="17"/>
                <w:szCs w:val="17"/>
              </w:rPr>
              <w:t>IA1.4: Determine opportunities to embed biosecurity as a consideration into broader decision-making, risk and business planning</w:t>
            </w:r>
          </w:p>
        </w:tc>
      </w:tr>
      <w:tr w:rsidR="00CC66FC" w:rsidRPr="008D7573" w14:paraId="31011B9E" w14:textId="77777777" w:rsidTr="00CC66FC">
        <w:tc>
          <w:tcPr>
            <w:tcW w:w="703" w:type="pct"/>
            <w:tcMar>
              <w:left w:w="108" w:type="dxa"/>
              <w:right w:w="108" w:type="dxa"/>
            </w:tcMar>
          </w:tcPr>
          <w:p w14:paraId="0D80F803" w14:textId="77777777" w:rsidR="00CC66FC" w:rsidRPr="00CC66FC" w:rsidRDefault="00CC66FC" w:rsidP="00CC66FC">
            <w:pPr>
              <w:pStyle w:val="TableText"/>
              <w:rPr>
                <w:sz w:val="17"/>
                <w:szCs w:val="17"/>
              </w:rPr>
            </w:pPr>
            <w:r w:rsidRPr="00CC66FC">
              <w:rPr>
                <w:sz w:val="17"/>
                <w:szCs w:val="17"/>
              </w:rPr>
              <w:t>Stronger partnerships</w:t>
            </w:r>
          </w:p>
        </w:tc>
        <w:tc>
          <w:tcPr>
            <w:tcW w:w="4297" w:type="pct"/>
            <w:tcMar>
              <w:left w:w="108" w:type="dxa"/>
              <w:right w:w="108" w:type="dxa"/>
            </w:tcMar>
          </w:tcPr>
          <w:p w14:paraId="27B75353" w14:textId="77777777" w:rsidR="00CC66FC" w:rsidRPr="00CC66FC" w:rsidRDefault="00CC66FC" w:rsidP="00CC66FC">
            <w:pPr>
              <w:pStyle w:val="TableText"/>
              <w:rPr>
                <w:sz w:val="17"/>
                <w:szCs w:val="17"/>
              </w:rPr>
            </w:pPr>
            <w:r w:rsidRPr="00CC66FC">
              <w:rPr>
                <w:sz w:val="17"/>
                <w:szCs w:val="17"/>
              </w:rPr>
              <w:t>IA2.1: Enhance partnerships and engagement with Indigenous Australians</w:t>
            </w:r>
          </w:p>
          <w:p w14:paraId="3F044E86" w14:textId="77777777" w:rsidR="00CC66FC" w:rsidRPr="00CC66FC" w:rsidRDefault="00CC66FC" w:rsidP="00CC66FC">
            <w:pPr>
              <w:pStyle w:val="TableText"/>
              <w:rPr>
                <w:sz w:val="17"/>
                <w:szCs w:val="17"/>
              </w:rPr>
            </w:pPr>
            <w:r w:rsidRPr="00CC66FC">
              <w:rPr>
                <w:sz w:val="17"/>
                <w:szCs w:val="17"/>
              </w:rPr>
              <w:t>IA2.2: Collaboratively review and refine roles and responsibilities</w:t>
            </w:r>
          </w:p>
          <w:p w14:paraId="23454D70" w14:textId="77777777" w:rsidR="00CC66FC" w:rsidRPr="00CC66FC" w:rsidRDefault="00CC66FC" w:rsidP="00CC66FC">
            <w:pPr>
              <w:pStyle w:val="TableText"/>
              <w:rPr>
                <w:sz w:val="17"/>
                <w:szCs w:val="17"/>
              </w:rPr>
            </w:pPr>
            <w:r w:rsidRPr="00CC66FC">
              <w:rPr>
                <w:sz w:val="17"/>
                <w:szCs w:val="17"/>
              </w:rPr>
              <w:t>IA2.3: Review governance arrangements to ensure they include relevant stakeholders</w:t>
            </w:r>
          </w:p>
          <w:p w14:paraId="34B88499" w14:textId="77777777" w:rsidR="00CC66FC" w:rsidRPr="00CC66FC" w:rsidRDefault="00CC66FC" w:rsidP="00CC66FC">
            <w:pPr>
              <w:pStyle w:val="TableText"/>
              <w:rPr>
                <w:sz w:val="17"/>
                <w:szCs w:val="17"/>
              </w:rPr>
            </w:pPr>
            <w:r w:rsidRPr="00CC66FC">
              <w:rPr>
                <w:sz w:val="17"/>
                <w:szCs w:val="17"/>
              </w:rPr>
              <w:t>IA2.4: Strengthen the involvement of environmental agencies and environmental and community groups</w:t>
            </w:r>
          </w:p>
          <w:p w14:paraId="25C3C34A" w14:textId="77777777" w:rsidR="00CC66FC" w:rsidRPr="00CC66FC" w:rsidRDefault="00CC66FC" w:rsidP="00CC66FC">
            <w:pPr>
              <w:pStyle w:val="TableText"/>
              <w:rPr>
                <w:sz w:val="17"/>
                <w:szCs w:val="17"/>
              </w:rPr>
            </w:pPr>
            <w:r w:rsidRPr="00CC66FC">
              <w:rPr>
                <w:sz w:val="17"/>
                <w:szCs w:val="17"/>
              </w:rPr>
              <w:t>IA2.5: Identify and implement opportunities for greater industry and community involvement in decision-making bodies</w:t>
            </w:r>
          </w:p>
          <w:p w14:paraId="6227C253" w14:textId="77777777" w:rsidR="00CC66FC" w:rsidRPr="00CC66FC" w:rsidRDefault="00CC66FC" w:rsidP="00CC66FC">
            <w:pPr>
              <w:pStyle w:val="TableText"/>
              <w:rPr>
                <w:sz w:val="17"/>
                <w:szCs w:val="17"/>
              </w:rPr>
            </w:pPr>
            <w:r w:rsidRPr="00CC66FC">
              <w:rPr>
                <w:sz w:val="17"/>
                <w:szCs w:val="17"/>
              </w:rPr>
              <w:t>IA2.6: Deepen international partnerships and capacity building</w:t>
            </w:r>
          </w:p>
          <w:p w14:paraId="2A56DF31" w14:textId="77777777" w:rsidR="00CC66FC" w:rsidRPr="00CC66FC" w:rsidRDefault="00CC66FC" w:rsidP="00CC66FC">
            <w:pPr>
              <w:pStyle w:val="TableText"/>
              <w:rPr>
                <w:sz w:val="17"/>
                <w:szCs w:val="17"/>
              </w:rPr>
            </w:pPr>
            <w:r w:rsidRPr="00CC66FC">
              <w:rPr>
                <w:sz w:val="17"/>
                <w:szCs w:val="17"/>
              </w:rPr>
              <w:t>IA2.7: Strengthen understanding of antimicrobial and pesticide resistance and zoonotic pathways</w:t>
            </w:r>
          </w:p>
          <w:p w14:paraId="61BD2A00" w14:textId="77777777" w:rsidR="00CC66FC" w:rsidRPr="00CC66FC" w:rsidRDefault="00CC66FC" w:rsidP="00CC66FC">
            <w:pPr>
              <w:pStyle w:val="TableText"/>
              <w:rPr>
                <w:sz w:val="17"/>
                <w:szCs w:val="17"/>
              </w:rPr>
            </w:pPr>
            <w:r w:rsidRPr="00CC66FC">
              <w:rPr>
                <w:sz w:val="17"/>
                <w:szCs w:val="17"/>
              </w:rPr>
              <w:t>IA2.8: Coordinate our international advocacy efforts to help shape global standards, rules and conditions</w:t>
            </w:r>
          </w:p>
        </w:tc>
      </w:tr>
      <w:tr w:rsidR="00CC66FC" w:rsidRPr="008D7573" w14:paraId="35022FC7" w14:textId="77777777" w:rsidTr="00CC66FC">
        <w:tc>
          <w:tcPr>
            <w:tcW w:w="703" w:type="pct"/>
            <w:tcMar>
              <w:left w:w="108" w:type="dxa"/>
              <w:right w:w="108" w:type="dxa"/>
            </w:tcMar>
          </w:tcPr>
          <w:p w14:paraId="128D392B" w14:textId="77777777" w:rsidR="00CC66FC" w:rsidRPr="00CC66FC" w:rsidRDefault="00CC66FC" w:rsidP="00CC66FC">
            <w:pPr>
              <w:pStyle w:val="TableText"/>
              <w:rPr>
                <w:sz w:val="17"/>
                <w:szCs w:val="17"/>
              </w:rPr>
            </w:pPr>
            <w:bookmarkStart w:id="44" w:name="_Hlk142298045"/>
            <w:r w:rsidRPr="00CC66FC">
              <w:rPr>
                <w:sz w:val="17"/>
                <w:szCs w:val="17"/>
              </w:rPr>
              <w:t>Highly skilled workforce</w:t>
            </w:r>
          </w:p>
        </w:tc>
        <w:tc>
          <w:tcPr>
            <w:tcW w:w="4297" w:type="pct"/>
            <w:tcMar>
              <w:left w:w="108" w:type="dxa"/>
              <w:right w:w="108" w:type="dxa"/>
            </w:tcMar>
          </w:tcPr>
          <w:p w14:paraId="4ED6E603" w14:textId="77777777" w:rsidR="00CC66FC" w:rsidRPr="00CC66FC" w:rsidRDefault="00CC66FC" w:rsidP="00CC66FC">
            <w:pPr>
              <w:pStyle w:val="TableText"/>
              <w:rPr>
                <w:sz w:val="17"/>
                <w:szCs w:val="17"/>
              </w:rPr>
            </w:pPr>
            <w:r w:rsidRPr="00CC66FC">
              <w:rPr>
                <w:sz w:val="17"/>
                <w:szCs w:val="17"/>
              </w:rPr>
              <w:t>IA3.1: Identify current and future skills needs in key areas</w:t>
            </w:r>
          </w:p>
          <w:p w14:paraId="2542CE31" w14:textId="77777777" w:rsidR="00CC66FC" w:rsidRPr="00CC66FC" w:rsidRDefault="00CC66FC" w:rsidP="00CC66FC">
            <w:pPr>
              <w:pStyle w:val="TableText"/>
              <w:rPr>
                <w:sz w:val="17"/>
                <w:szCs w:val="17"/>
              </w:rPr>
            </w:pPr>
            <w:r w:rsidRPr="00CC66FC">
              <w:rPr>
                <w:sz w:val="17"/>
                <w:szCs w:val="17"/>
              </w:rPr>
              <w:t>IA3.2: Develop a national workforce strategy to build, retain and deploy capability</w:t>
            </w:r>
          </w:p>
          <w:p w14:paraId="0EED041F" w14:textId="77777777" w:rsidR="00CC66FC" w:rsidRPr="00CC66FC" w:rsidRDefault="00CC66FC" w:rsidP="00CC66FC">
            <w:pPr>
              <w:pStyle w:val="TableText"/>
              <w:rPr>
                <w:sz w:val="17"/>
                <w:szCs w:val="17"/>
              </w:rPr>
            </w:pPr>
            <w:r w:rsidRPr="00CC66FC">
              <w:rPr>
                <w:sz w:val="17"/>
                <w:szCs w:val="17"/>
              </w:rPr>
              <w:t>IA3.3: Build upon and expand existing cooperative and partnership arrangements</w:t>
            </w:r>
          </w:p>
          <w:p w14:paraId="35C3D654" w14:textId="77777777" w:rsidR="00CC66FC" w:rsidRPr="00CC66FC" w:rsidRDefault="00CC66FC" w:rsidP="00CC66FC">
            <w:pPr>
              <w:pStyle w:val="TableText"/>
              <w:rPr>
                <w:sz w:val="17"/>
                <w:szCs w:val="17"/>
              </w:rPr>
            </w:pPr>
            <w:r w:rsidRPr="00CC66FC">
              <w:rPr>
                <w:sz w:val="17"/>
                <w:szCs w:val="17"/>
              </w:rPr>
              <w:t>IA3.4: Strengthen professional development programs</w:t>
            </w:r>
          </w:p>
        </w:tc>
      </w:tr>
      <w:tr w:rsidR="00CC66FC" w:rsidRPr="008D7573" w14:paraId="0A2E2C25" w14:textId="77777777" w:rsidTr="00CC66FC">
        <w:tc>
          <w:tcPr>
            <w:tcW w:w="703" w:type="pct"/>
            <w:tcMar>
              <w:left w:w="108" w:type="dxa"/>
              <w:right w:w="108" w:type="dxa"/>
            </w:tcMar>
          </w:tcPr>
          <w:p w14:paraId="2FEFC846" w14:textId="77777777" w:rsidR="00CC66FC" w:rsidRPr="00CC66FC" w:rsidRDefault="00CC66FC" w:rsidP="00CC66FC">
            <w:pPr>
              <w:pStyle w:val="TableText"/>
              <w:rPr>
                <w:sz w:val="17"/>
                <w:szCs w:val="17"/>
              </w:rPr>
            </w:pPr>
            <w:r w:rsidRPr="00CC66FC">
              <w:rPr>
                <w:sz w:val="17"/>
                <w:szCs w:val="17"/>
              </w:rPr>
              <w:t>Coordinated preparedness and response</w:t>
            </w:r>
          </w:p>
        </w:tc>
        <w:tc>
          <w:tcPr>
            <w:tcW w:w="4297" w:type="pct"/>
            <w:tcMar>
              <w:left w:w="108" w:type="dxa"/>
              <w:right w:w="108" w:type="dxa"/>
            </w:tcMar>
          </w:tcPr>
          <w:p w14:paraId="1CE2FD40" w14:textId="77777777" w:rsidR="00CC66FC" w:rsidRPr="00CC66FC" w:rsidRDefault="00CC66FC" w:rsidP="00CC66FC">
            <w:pPr>
              <w:pStyle w:val="TableText"/>
              <w:rPr>
                <w:sz w:val="17"/>
                <w:szCs w:val="17"/>
              </w:rPr>
            </w:pPr>
            <w:r w:rsidRPr="00CC66FC">
              <w:rPr>
                <w:sz w:val="17"/>
                <w:szCs w:val="17"/>
              </w:rPr>
              <w:t>IA4.1: Undertake and promote regular national preparedness exercises</w:t>
            </w:r>
          </w:p>
          <w:p w14:paraId="4B1A2F3B" w14:textId="77777777" w:rsidR="00CC66FC" w:rsidRPr="00CC66FC" w:rsidRDefault="00CC66FC" w:rsidP="00CC66FC">
            <w:pPr>
              <w:pStyle w:val="TableText"/>
              <w:rPr>
                <w:sz w:val="17"/>
                <w:szCs w:val="17"/>
              </w:rPr>
            </w:pPr>
            <w:r w:rsidRPr="00CC66FC">
              <w:rPr>
                <w:sz w:val="17"/>
                <w:szCs w:val="17"/>
              </w:rPr>
              <w:t>IA4.2: Advance regionally based planning activities</w:t>
            </w:r>
          </w:p>
          <w:p w14:paraId="4692C000" w14:textId="77777777" w:rsidR="00CC66FC" w:rsidRPr="00CC66FC" w:rsidRDefault="00CC66FC" w:rsidP="00CC66FC">
            <w:pPr>
              <w:pStyle w:val="TableText"/>
              <w:rPr>
                <w:sz w:val="17"/>
                <w:szCs w:val="17"/>
              </w:rPr>
            </w:pPr>
            <w:r w:rsidRPr="00CC66FC">
              <w:rPr>
                <w:sz w:val="17"/>
                <w:szCs w:val="17"/>
              </w:rPr>
              <w:t>IA4.3: Continually review and update risk information to inform priorities</w:t>
            </w:r>
          </w:p>
          <w:p w14:paraId="06DCAA7A" w14:textId="77777777" w:rsidR="00CC66FC" w:rsidRPr="00CC66FC" w:rsidRDefault="00CC66FC" w:rsidP="00CC66FC">
            <w:pPr>
              <w:pStyle w:val="TableText"/>
              <w:rPr>
                <w:sz w:val="17"/>
                <w:szCs w:val="17"/>
              </w:rPr>
            </w:pPr>
            <w:r w:rsidRPr="00CC66FC">
              <w:rPr>
                <w:sz w:val="17"/>
                <w:szCs w:val="17"/>
              </w:rPr>
              <w:t>IA4.4: Actively embed continuous learning</w:t>
            </w:r>
          </w:p>
          <w:p w14:paraId="5A84C211" w14:textId="77777777" w:rsidR="00CC66FC" w:rsidRPr="00CC66FC" w:rsidRDefault="00CC66FC" w:rsidP="00CC66FC">
            <w:pPr>
              <w:pStyle w:val="TableText"/>
              <w:rPr>
                <w:sz w:val="17"/>
                <w:szCs w:val="17"/>
              </w:rPr>
            </w:pPr>
            <w:r w:rsidRPr="00CC66FC">
              <w:rPr>
                <w:sz w:val="17"/>
                <w:szCs w:val="17"/>
              </w:rPr>
              <w:t>IA4.5: Strengthen traceability arrangements</w:t>
            </w:r>
          </w:p>
          <w:p w14:paraId="3215E569" w14:textId="77777777" w:rsidR="00CC66FC" w:rsidRPr="00CC66FC" w:rsidRDefault="00CC66FC" w:rsidP="00CC66FC">
            <w:pPr>
              <w:pStyle w:val="TableText"/>
              <w:rPr>
                <w:sz w:val="17"/>
                <w:szCs w:val="17"/>
              </w:rPr>
            </w:pPr>
            <w:r w:rsidRPr="00CC66FC">
              <w:rPr>
                <w:sz w:val="17"/>
                <w:szCs w:val="17"/>
              </w:rPr>
              <w:t>IA4.6: Enhance our national surveillance and early detection arrangements</w:t>
            </w:r>
          </w:p>
          <w:p w14:paraId="0D0EC1D1" w14:textId="77777777" w:rsidR="00CC66FC" w:rsidRPr="00CC66FC" w:rsidRDefault="00CC66FC" w:rsidP="00CC66FC">
            <w:pPr>
              <w:pStyle w:val="TableText"/>
              <w:rPr>
                <w:sz w:val="17"/>
                <w:szCs w:val="17"/>
              </w:rPr>
            </w:pPr>
            <w:r w:rsidRPr="00CC66FC">
              <w:rPr>
                <w:sz w:val="17"/>
                <w:szCs w:val="17"/>
              </w:rPr>
              <w:t>IA4.7: Evolve our national information management frameworks</w:t>
            </w:r>
          </w:p>
        </w:tc>
      </w:tr>
      <w:tr w:rsidR="00CC66FC" w:rsidRPr="008D7573" w14:paraId="2B1302C0" w14:textId="77777777" w:rsidTr="00CC66FC">
        <w:tc>
          <w:tcPr>
            <w:tcW w:w="703" w:type="pct"/>
            <w:tcMar>
              <w:left w:w="108" w:type="dxa"/>
              <w:right w:w="108" w:type="dxa"/>
            </w:tcMar>
          </w:tcPr>
          <w:p w14:paraId="28604A47" w14:textId="77777777" w:rsidR="00CC66FC" w:rsidRPr="00CC66FC" w:rsidRDefault="00CC66FC" w:rsidP="00CC66FC">
            <w:pPr>
              <w:pStyle w:val="TableText"/>
              <w:rPr>
                <w:sz w:val="17"/>
                <w:szCs w:val="17"/>
              </w:rPr>
            </w:pPr>
            <w:r w:rsidRPr="00CC66FC">
              <w:rPr>
                <w:sz w:val="17"/>
                <w:szCs w:val="17"/>
              </w:rPr>
              <w:t>Sustainable investment</w:t>
            </w:r>
          </w:p>
        </w:tc>
        <w:tc>
          <w:tcPr>
            <w:tcW w:w="4297" w:type="pct"/>
            <w:tcMar>
              <w:left w:w="108" w:type="dxa"/>
              <w:right w:w="108" w:type="dxa"/>
            </w:tcMar>
          </w:tcPr>
          <w:p w14:paraId="110E6089" w14:textId="77777777" w:rsidR="00CC66FC" w:rsidRPr="00CC66FC" w:rsidRDefault="00CC66FC" w:rsidP="00CC66FC">
            <w:pPr>
              <w:pStyle w:val="TableText"/>
              <w:rPr>
                <w:sz w:val="17"/>
                <w:szCs w:val="17"/>
              </w:rPr>
            </w:pPr>
            <w:r w:rsidRPr="00CC66FC">
              <w:rPr>
                <w:sz w:val="17"/>
                <w:szCs w:val="17"/>
              </w:rPr>
              <w:t>IA5.1: Work together to identify funding needs and determine priorities</w:t>
            </w:r>
          </w:p>
          <w:p w14:paraId="6F9A19F8" w14:textId="77777777" w:rsidR="00CC66FC" w:rsidRPr="00CC66FC" w:rsidRDefault="00CC66FC" w:rsidP="00CC66FC">
            <w:pPr>
              <w:pStyle w:val="TableText"/>
              <w:rPr>
                <w:sz w:val="17"/>
                <w:szCs w:val="17"/>
              </w:rPr>
            </w:pPr>
            <w:r w:rsidRPr="00CC66FC">
              <w:rPr>
                <w:sz w:val="17"/>
                <w:szCs w:val="17"/>
              </w:rPr>
              <w:t>IA5.2: Strengthen frameworks to agree and deliver priority investments</w:t>
            </w:r>
          </w:p>
          <w:p w14:paraId="05E333C3" w14:textId="77777777" w:rsidR="00CC66FC" w:rsidRPr="00CC66FC" w:rsidRDefault="00CC66FC" w:rsidP="00CC66FC">
            <w:pPr>
              <w:pStyle w:val="TableText"/>
              <w:rPr>
                <w:sz w:val="17"/>
                <w:szCs w:val="17"/>
              </w:rPr>
            </w:pPr>
            <w:r w:rsidRPr="00CC66FC">
              <w:rPr>
                <w:sz w:val="17"/>
                <w:szCs w:val="17"/>
              </w:rPr>
              <w:t>IA5.3: Advance co-funding and investment strategies with stakeholders</w:t>
            </w:r>
          </w:p>
          <w:p w14:paraId="78456C45" w14:textId="77777777" w:rsidR="00CC66FC" w:rsidRPr="00CC66FC" w:rsidRDefault="00CC66FC" w:rsidP="00CC66FC">
            <w:pPr>
              <w:pStyle w:val="TableText"/>
              <w:rPr>
                <w:sz w:val="17"/>
                <w:szCs w:val="17"/>
              </w:rPr>
            </w:pPr>
            <w:r w:rsidRPr="00CC66FC">
              <w:rPr>
                <w:sz w:val="17"/>
                <w:szCs w:val="17"/>
              </w:rPr>
              <w:t>IA5.4: Increase the transparency of biosecurity funding</w:t>
            </w:r>
          </w:p>
          <w:p w14:paraId="1A578842" w14:textId="77777777" w:rsidR="00CC66FC" w:rsidRPr="00CC66FC" w:rsidRDefault="00CC66FC" w:rsidP="00CC66FC">
            <w:pPr>
              <w:pStyle w:val="TableText"/>
              <w:rPr>
                <w:sz w:val="17"/>
                <w:szCs w:val="17"/>
              </w:rPr>
            </w:pPr>
            <w:r w:rsidRPr="00CC66FC">
              <w:rPr>
                <w:sz w:val="17"/>
                <w:szCs w:val="17"/>
              </w:rPr>
              <w:t>IA5.5: Complete the development of a system performance and evaluation framework</w:t>
            </w:r>
          </w:p>
        </w:tc>
      </w:tr>
      <w:tr w:rsidR="00CC66FC" w:rsidRPr="008D7573" w14:paraId="659F598E" w14:textId="77777777" w:rsidTr="00CC66FC">
        <w:tc>
          <w:tcPr>
            <w:tcW w:w="703" w:type="pct"/>
            <w:tcMar>
              <w:left w:w="108" w:type="dxa"/>
              <w:right w:w="108" w:type="dxa"/>
            </w:tcMar>
          </w:tcPr>
          <w:p w14:paraId="135D5120" w14:textId="77777777" w:rsidR="00CC66FC" w:rsidRPr="00CC66FC" w:rsidRDefault="00CC66FC" w:rsidP="00CC66FC">
            <w:pPr>
              <w:pStyle w:val="TableText"/>
              <w:rPr>
                <w:sz w:val="17"/>
                <w:szCs w:val="17"/>
              </w:rPr>
            </w:pPr>
            <w:r w:rsidRPr="00CC66FC">
              <w:rPr>
                <w:sz w:val="17"/>
                <w:szCs w:val="17"/>
              </w:rPr>
              <w:t>Integration supported by technology, research, and data</w:t>
            </w:r>
          </w:p>
        </w:tc>
        <w:tc>
          <w:tcPr>
            <w:tcW w:w="4297" w:type="pct"/>
            <w:tcMar>
              <w:left w:w="108" w:type="dxa"/>
              <w:right w:w="108" w:type="dxa"/>
            </w:tcMar>
          </w:tcPr>
          <w:p w14:paraId="7DFDF623" w14:textId="77777777" w:rsidR="00CC66FC" w:rsidRPr="00CC66FC" w:rsidRDefault="00CC66FC" w:rsidP="00CC66FC">
            <w:pPr>
              <w:pStyle w:val="TableText"/>
              <w:rPr>
                <w:sz w:val="17"/>
                <w:szCs w:val="17"/>
              </w:rPr>
            </w:pPr>
            <w:r w:rsidRPr="00CC66FC">
              <w:rPr>
                <w:sz w:val="17"/>
                <w:szCs w:val="17"/>
              </w:rPr>
              <w:t>IA6.1: Continue to invest in and roll out transformative technologies to digitise and automate processes</w:t>
            </w:r>
          </w:p>
          <w:p w14:paraId="12D8A1CA" w14:textId="77777777" w:rsidR="00CC66FC" w:rsidRPr="00CC66FC" w:rsidRDefault="00CC66FC" w:rsidP="00CC66FC">
            <w:pPr>
              <w:pStyle w:val="TableText"/>
              <w:rPr>
                <w:sz w:val="17"/>
                <w:szCs w:val="17"/>
              </w:rPr>
            </w:pPr>
            <w:r w:rsidRPr="00CC66FC">
              <w:rPr>
                <w:sz w:val="17"/>
                <w:szCs w:val="17"/>
              </w:rPr>
              <w:t>IA6.2: Increase stakeholder coordination to prioritise, drive and deliver national research outcomes</w:t>
            </w:r>
          </w:p>
          <w:p w14:paraId="1BC38CA4" w14:textId="77777777" w:rsidR="00CC66FC" w:rsidRPr="00CC66FC" w:rsidRDefault="00CC66FC" w:rsidP="00CC66FC">
            <w:pPr>
              <w:pStyle w:val="TableText"/>
              <w:rPr>
                <w:sz w:val="17"/>
                <w:szCs w:val="17"/>
              </w:rPr>
            </w:pPr>
            <w:r w:rsidRPr="00CC66FC">
              <w:rPr>
                <w:sz w:val="17"/>
                <w:szCs w:val="17"/>
              </w:rPr>
              <w:t>IA6.3: Actively share data and research widely</w:t>
            </w:r>
          </w:p>
          <w:p w14:paraId="37F72348" w14:textId="77777777" w:rsidR="00CC66FC" w:rsidRPr="00CC66FC" w:rsidRDefault="00CC66FC" w:rsidP="00CC66FC">
            <w:pPr>
              <w:pStyle w:val="TableText"/>
              <w:rPr>
                <w:sz w:val="17"/>
                <w:szCs w:val="17"/>
              </w:rPr>
            </w:pPr>
            <w:r w:rsidRPr="00CC66FC">
              <w:rPr>
                <w:sz w:val="17"/>
                <w:szCs w:val="17"/>
              </w:rPr>
              <w:t>IA6.4: Enhance the accessibility and use of surveillance and interception data</w:t>
            </w:r>
          </w:p>
          <w:p w14:paraId="1F11415F" w14:textId="77777777" w:rsidR="00CC66FC" w:rsidRPr="00CC66FC" w:rsidRDefault="00CC66FC" w:rsidP="00CC66FC">
            <w:pPr>
              <w:pStyle w:val="TableText"/>
              <w:rPr>
                <w:sz w:val="17"/>
                <w:szCs w:val="17"/>
              </w:rPr>
            </w:pPr>
            <w:r w:rsidRPr="00CC66FC">
              <w:rPr>
                <w:sz w:val="17"/>
                <w:szCs w:val="17"/>
              </w:rPr>
              <w:t>IA6.5: Further support innovations to build science and research capacity</w:t>
            </w:r>
          </w:p>
          <w:p w14:paraId="7405A689" w14:textId="77777777" w:rsidR="00CC66FC" w:rsidRPr="00CC66FC" w:rsidRDefault="00CC66FC" w:rsidP="00CC66FC">
            <w:pPr>
              <w:pStyle w:val="TableText"/>
              <w:rPr>
                <w:sz w:val="17"/>
                <w:szCs w:val="17"/>
              </w:rPr>
            </w:pPr>
            <w:r w:rsidRPr="00CC66FC">
              <w:rPr>
                <w:sz w:val="17"/>
                <w:szCs w:val="17"/>
              </w:rPr>
              <w:t>IA6.6: Encourage the uptake of existing and emerging technologies, systems and processes</w:t>
            </w:r>
          </w:p>
          <w:p w14:paraId="17D2CB7C" w14:textId="77777777" w:rsidR="00CC66FC" w:rsidRPr="00CC66FC" w:rsidRDefault="00CC66FC" w:rsidP="00CC66FC">
            <w:pPr>
              <w:pStyle w:val="TableText"/>
              <w:rPr>
                <w:sz w:val="17"/>
                <w:szCs w:val="17"/>
              </w:rPr>
            </w:pPr>
            <w:r w:rsidRPr="00CC66FC">
              <w:rPr>
                <w:sz w:val="17"/>
                <w:szCs w:val="17"/>
              </w:rPr>
              <w:t>IA6.7: Increase the use of citizen science, Indigenous knowledge and on the ground insights</w:t>
            </w:r>
          </w:p>
          <w:p w14:paraId="0CD51550" w14:textId="77777777" w:rsidR="00CC66FC" w:rsidRPr="00CC66FC" w:rsidRDefault="00CC66FC" w:rsidP="00CC66FC">
            <w:pPr>
              <w:pStyle w:val="TableText"/>
              <w:rPr>
                <w:sz w:val="17"/>
                <w:szCs w:val="17"/>
              </w:rPr>
            </w:pPr>
            <w:r w:rsidRPr="00CC66FC">
              <w:rPr>
                <w:sz w:val="17"/>
                <w:szCs w:val="17"/>
              </w:rPr>
              <w:t>IA6.8: Encourage greater private sector investment in the development and delivery of biosecurity innovations</w:t>
            </w:r>
          </w:p>
        </w:tc>
      </w:tr>
    </w:tbl>
    <w:p w14:paraId="30C8EDE4" w14:textId="14E48732" w:rsidR="00CC66FC" w:rsidRPr="00CC66FC" w:rsidRDefault="00CC66FC" w:rsidP="00CC66FC">
      <w:pPr>
        <w:pStyle w:val="Heading2"/>
        <w:numPr>
          <w:ilvl w:val="0"/>
          <w:numId w:val="0"/>
        </w:numPr>
      </w:pPr>
      <w:bookmarkStart w:id="45" w:name="_Appendix_B:_Activities"/>
      <w:bookmarkStart w:id="46" w:name="_Toc174097865"/>
      <w:bookmarkEnd w:id="43"/>
      <w:bookmarkEnd w:id="44"/>
      <w:bookmarkEnd w:id="45"/>
      <w:r w:rsidRPr="00CC66FC">
        <w:lastRenderedPageBreak/>
        <w:t>Appendix B: Activities for future consideration</w:t>
      </w:r>
      <w:bookmarkEnd w:id="46"/>
    </w:p>
    <w:p w14:paraId="25521CB1" w14:textId="77160F9A" w:rsidR="00FE2597" w:rsidRDefault="00E91D72" w:rsidP="00FE2597">
      <w:pPr>
        <w:pStyle w:val="Caption"/>
      </w:pPr>
      <w:bookmarkStart w:id="47" w:name="_Toc172303493"/>
      <w:r>
        <w:t>Table B</w:t>
      </w:r>
      <w:r>
        <w:rPr>
          <w:noProof/>
        </w:rPr>
        <w:fldChar w:fldCharType="begin"/>
      </w:r>
      <w:r>
        <w:rPr>
          <w:noProof/>
        </w:rPr>
        <w:instrText xml:space="preserve"> SEQ Table_B \* ARABIC </w:instrText>
      </w:r>
      <w:r>
        <w:rPr>
          <w:noProof/>
        </w:rPr>
        <w:fldChar w:fldCharType="separate"/>
      </w:r>
      <w:r w:rsidR="006072E5">
        <w:rPr>
          <w:noProof/>
        </w:rPr>
        <w:t>1</w:t>
      </w:r>
      <w:r>
        <w:rPr>
          <w:noProof/>
        </w:rPr>
        <w:fldChar w:fldCharType="end"/>
      </w:r>
      <w:r>
        <w:t xml:space="preserve"> </w:t>
      </w:r>
      <w:r w:rsidR="00FE2597" w:rsidRPr="00FE2597">
        <w:t>Activities for consideration under</w:t>
      </w:r>
      <w:r w:rsidR="00C86776">
        <w:t xml:space="preserve"> this and</w:t>
      </w:r>
      <w:r w:rsidR="00FE2597" w:rsidRPr="00FE2597">
        <w:t xml:space="preserve"> </w:t>
      </w:r>
      <w:r w:rsidR="00FE2597" w:rsidRPr="00FF2EB1">
        <w:t xml:space="preserve">future </w:t>
      </w:r>
      <w:r w:rsidR="00B03395">
        <w:t>action plan</w:t>
      </w:r>
      <w:r w:rsidR="00FE2597" w:rsidRPr="00FF2EB1">
        <w:t>s</w:t>
      </w:r>
      <w:bookmarkEnd w:id="47"/>
    </w:p>
    <w:tbl>
      <w:tblPr>
        <w:tblW w:w="9124" w:type="dxa"/>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8"/>
        <w:gridCol w:w="6856"/>
      </w:tblGrid>
      <w:tr w:rsidR="00FE2597" w:rsidRPr="00DC2FEF" w14:paraId="048D9123" w14:textId="77777777" w:rsidTr="002F3FA6">
        <w:trPr>
          <w:cantSplit/>
          <w:tblHeader/>
        </w:trPr>
        <w:tc>
          <w:tcPr>
            <w:tcW w:w="2268" w:type="dxa"/>
            <w:tcMar>
              <w:left w:w="108" w:type="dxa"/>
              <w:right w:w="108" w:type="dxa"/>
            </w:tcMar>
          </w:tcPr>
          <w:p w14:paraId="4BAF8E1F" w14:textId="77777777" w:rsidR="00FE2597" w:rsidRPr="00DC2FEF" w:rsidRDefault="00FE2597" w:rsidP="002F3FA6">
            <w:pPr>
              <w:pStyle w:val="TableHeading"/>
            </w:pPr>
            <w:bookmarkStart w:id="48" w:name="Title_B1"/>
            <w:bookmarkEnd w:id="48"/>
            <w:r w:rsidRPr="009B7E87">
              <w:t>Priority areas</w:t>
            </w:r>
          </w:p>
        </w:tc>
        <w:tc>
          <w:tcPr>
            <w:tcW w:w="6856" w:type="dxa"/>
            <w:tcMar>
              <w:left w:w="108" w:type="dxa"/>
              <w:right w:w="108" w:type="dxa"/>
            </w:tcMar>
          </w:tcPr>
          <w:p w14:paraId="28EC1926" w14:textId="77777777" w:rsidR="00FE2597" w:rsidRPr="00DC2FEF" w:rsidRDefault="00FE2597" w:rsidP="002F3FA6">
            <w:pPr>
              <w:pStyle w:val="TableHeading"/>
            </w:pPr>
            <w:r>
              <w:t>Proposed future activities</w:t>
            </w:r>
          </w:p>
        </w:tc>
      </w:tr>
      <w:tr w:rsidR="00FE2597" w14:paraId="0BBC6CDB" w14:textId="77777777" w:rsidTr="00FE2597">
        <w:tc>
          <w:tcPr>
            <w:tcW w:w="2268" w:type="dxa"/>
            <w:vMerge w:val="restart"/>
            <w:tcMar>
              <w:left w:w="108" w:type="dxa"/>
              <w:right w:w="108" w:type="dxa"/>
            </w:tcMar>
          </w:tcPr>
          <w:p w14:paraId="4605A662" w14:textId="77777777" w:rsidR="00FE2597" w:rsidRPr="00DE4659" w:rsidRDefault="00FE2597" w:rsidP="002F3FA6">
            <w:pPr>
              <w:pStyle w:val="TableText"/>
            </w:pPr>
            <w:r w:rsidRPr="00DE4659">
              <w:t>Priority area 1: Shared biosecurity culture</w:t>
            </w:r>
            <w:r>
              <w:t>.</w:t>
            </w:r>
          </w:p>
        </w:tc>
        <w:tc>
          <w:tcPr>
            <w:tcW w:w="6856" w:type="dxa"/>
            <w:tcMar>
              <w:left w:w="108" w:type="dxa"/>
              <w:right w:w="108" w:type="dxa"/>
            </w:tcMar>
          </w:tcPr>
          <w:p w14:paraId="61CCE00E" w14:textId="77777777" w:rsidR="00FE2597" w:rsidRPr="00E72DA4" w:rsidRDefault="00FE2597" w:rsidP="002F3FA6">
            <w:pPr>
              <w:pStyle w:val="TableText"/>
            </w:pPr>
            <w:r>
              <w:t>Review social science research to expand adoption and drive proactive biosecurity behaviours.</w:t>
            </w:r>
          </w:p>
        </w:tc>
      </w:tr>
      <w:tr w:rsidR="00FE2597" w14:paraId="1C1F6864" w14:textId="77777777" w:rsidTr="00FE2597">
        <w:tc>
          <w:tcPr>
            <w:tcW w:w="2268" w:type="dxa"/>
            <w:vMerge/>
            <w:tcMar>
              <w:left w:w="108" w:type="dxa"/>
              <w:right w:w="108" w:type="dxa"/>
            </w:tcMar>
          </w:tcPr>
          <w:p w14:paraId="56A8B306" w14:textId="77777777" w:rsidR="00FE2597" w:rsidRPr="004A2EF9" w:rsidRDefault="00FE2597" w:rsidP="002F3FA6">
            <w:pPr>
              <w:pStyle w:val="TableText"/>
            </w:pPr>
          </w:p>
        </w:tc>
        <w:tc>
          <w:tcPr>
            <w:tcW w:w="6856" w:type="dxa"/>
            <w:tcMar>
              <w:left w:w="108" w:type="dxa"/>
              <w:right w:w="108" w:type="dxa"/>
            </w:tcMar>
          </w:tcPr>
          <w:p w14:paraId="20E8C021" w14:textId="77777777" w:rsidR="00FE2597" w:rsidRPr="004A2EF9" w:rsidRDefault="00FE2597" w:rsidP="002F3FA6">
            <w:pPr>
              <w:pStyle w:val="TableText"/>
            </w:pPr>
            <w:r w:rsidRPr="008C2F50">
              <w:t>Identify and engage regional biosecurity champions to promote biosecurity behaviours and outcomes.</w:t>
            </w:r>
          </w:p>
        </w:tc>
      </w:tr>
      <w:tr w:rsidR="11265918" w14:paraId="2EF77600" w14:textId="77777777" w:rsidTr="11265918">
        <w:trPr>
          <w:trHeight w:val="300"/>
        </w:trPr>
        <w:tc>
          <w:tcPr>
            <w:tcW w:w="2268" w:type="dxa"/>
            <w:vMerge/>
            <w:tcMar>
              <w:left w:w="108" w:type="dxa"/>
              <w:right w:w="108" w:type="dxa"/>
            </w:tcMar>
          </w:tcPr>
          <w:p w14:paraId="5F4ADE94" w14:textId="77777777" w:rsidR="000B3D17" w:rsidRDefault="000B3D17"/>
        </w:tc>
        <w:tc>
          <w:tcPr>
            <w:tcW w:w="6856" w:type="dxa"/>
            <w:tcMar>
              <w:left w:w="108" w:type="dxa"/>
              <w:right w:w="108" w:type="dxa"/>
            </w:tcMar>
          </w:tcPr>
          <w:p w14:paraId="49177C95" w14:textId="4185C447" w:rsidR="11265918" w:rsidRDefault="004E21D6" w:rsidP="11265918">
            <w:pPr>
              <w:pStyle w:val="TableText"/>
            </w:pPr>
            <w:r>
              <w:t>Consider ways to engage children and youth in biosecurity</w:t>
            </w:r>
            <w:r w:rsidR="00EE764C">
              <w:t xml:space="preserve"> such as through</w:t>
            </w:r>
            <w:r w:rsidR="00FD2ADF">
              <w:t xml:space="preserve"> animated series, national television </w:t>
            </w:r>
            <w:r w:rsidR="00655E51">
              <w:t>and the development of games.</w:t>
            </w:r>
          </w:p>
        </w:tc>
      </w:tr>
      <w:tr w:rsidR="00A10BAD" w14:paraId="1FC466D6" w14:textId="77777777" w:rsidTr="00FE2597">
        <w:tc>
          <w:tcPr>
            <w:tcW w:w="2268" w:type="dxa"/>
            <w:vMerge w:val="restart"/>
            <w:tcMar>
              <w:left w:w="108" w:type="dxa"/>
              <w:right w:w="108" w:type="dxa"/>
            </w:tcMar>
          </w:tcPr>
          <w:p w14:paraId="7BF472DB" w14:textId="77777777" w:rsidR="00A10BAD" w:rsidRPr="00883F03" w:rsidRDefault="00A10BAD" w:rsidP="002F3FA6">
            <w:pPr>
              <w:pStyle w:val="TableText"/>
            </w:pPr>
            <w:r w:rsidRPr="00883F03">
              <w:t xml:space="preserve">Priority area </w:t>
            </w:r>
            <w:r>
              <w:t>2</w:t>
            </w:r>
            <w:r w:rsidRPr="00883F03">
              <w:t>: Stronger partnerships</w:t>
            </w:r>
            <w:r>
              <w:t>.</w:t>
            </w:r>
          </w:p>
        </w:tc>
        <w:tc>
          <w:tcPr>
            <w:tcW w:w="6856" w:type="dxa"/>
            <w:tcMar>
              <w:left w:w="108" w:type="dxa"/>
              <w:right w:w="108" w:type="dxa"/>
            </w:tcMar>
          </w:tcPr>
          <w:p w14:paraId="6BE7340A" w14:textId="77777777" w:rsidR="00A10BAD" w:rsidRDefault="00A10BAD" w:rsidP="002F3FA6">
            <w:pPr>
              <w:pStyle w:val="TableText"/>
            </w:pPr>
            <w:r>
              <w:t>Develop and support programs to improve import pathway partners and offshore suppliers’ understanding of biosecurity requirements to reduce risks prior to arrival in Australia.</w:t>
            </w:r>
          </w:p>
        </w:tc>
      </w:tr>
      <w:tr w:rsidR="00A10BAD" w14:paraId="269750C8" w14:textId="77777777" w:rsidTr="00FE2597">
        <w:tc>
          <w:tcPr>
            <w:tcW w:w="2268" w:type="dxa"/>
            <w:vMerge/>
            <w:tcMar>
              <w:left w:w="108" w:type="dxa"/>
              <w:right w:w="108" w:type="dxa"/>
            </w:tcMar>
          </w:tcPr>
          <w:p w14:paraId="4CA9D551" w14:textId="77777777" w:rsidR="00A10BAD" w:rsidRPr="00883F03" w:rsidRDefault="00A10BAD" w:rsidP="002F3FA6">
            <w:pPr>
              <w:pStyle w:val="TableText"/>
            </w:pPr>
          </w:p>
        </w:tc>
        <w:tc>
          <w:tcPr>
            <w:tcW w:w="6856" w:type="dxa"/>
            <w:tcMar>
              <w:left w:w="108" w:type="dxa"/>
              <w:right w:w="108" w:type="dxa"/>
            </w:tcMar>
          </w:tcPr>
          <w:p w14:paraId="2A695965" w14:textId="77777777" w:rsidR="00A10BAD" w:rsidRDefault="00A10BAD" w:rsidP="002F3FA6">
            <w:pPr>
              <w:pStyle w:val="TableText"/>
            </w:pPr>
            <w:r w:rsidRPr="00613CDD">
              <w:t>Incorporate Indigenous cultural heritage protection into all relevant biosecurity activities including risk assessments and priority risk lists.</w:t>
            </w:r>
          </w:p>
        </w:tc>
      </w:tr>
      <w:tr w:rsidR="00A10BAD" w14:paraId="40F0F13B" w14:textId="77777777" w:rsidTr="00FE2597">
        <w:tc>
          <w:tcPr>
            <w:tcW w:w="2268" w:type="dxa"/>
            <w:vMerge/>
            <w:tcMar>
              <w:left w:w="108" w:type="dxa"/>
              <w:right w:w="108" w:type="dxa"/>
            </w:tcMar>
          </w:tcPr>
          <w:p w14:paraId="1602E160" w14:textId="77777777" w:rsidR="00A10BAD" w:rsidRPr="008E39F5" w:rsidRDefault="00A10BAD" w:rsidP="002F3FA6"/>
        </w:tc>
        <w:tc>
          <w:tcPr>
            <w:tcW w:w="6856" w:type="dxa"/>
            <w:tcMar>
              <w:left w:w="108" w:type="dxa"/>
              <w:right w:w="108" w:type="dxa"/>
            </w:tcMar>
          </w:tcPr>
          <w:p w14:paraId="078CD5C1" w14:textId="77777777" w:rsidR="00A10BAD" w:rsidRPr="00613CDD" w:rsidRDefault="00A10BAD" w:rsidP="002F3FA6">
            <w:pPr>
              <w:pStyle w:val="TableText"/>
            </w:pPr>
            <w:r w:rsidRPr="00613CDD">
              <w:t>Support for Pacific nations to eradicate and manage high priority environmental threats including invasive ants.</w:t>
            </w:r>
          </w:p>
        </w:tc>
      </w:tr>
      <w:tr w:rsidR="00A10BAD" w14:paraId="439E9FFE" w14:textId="77777777" w:rsidTr="00FE2597">
        <w:tc>
          <w:tcPr>
            <w:tcW w:w="2268" w:type="dxa"/>
            <w:vMerge/>
            <w:tcMar>
              <w:left w:w="108" w:type="dxa"/>
              <w:right w:w="108" w:type="dxa"/>
            </w:tcMar>
          </w:tcPr>
          <w:p w14:paraId="722E515F" w14:textId="77777777" w:rsidR="00A10BAD" w:rsidRPr="008E39F5" w:rsidRDefault="00A10BAD" w:rsidP="002F3FA6"/>
        </w:tc>
        <w:tc>
          <w:tcPr>
            <w:tcW w:w="6856" w:type="dxa"/>
            <w:tcMar>
              <w:left w:w="108" w:type="dxa"/>
              <w:right w:w="108" w:type="dxa"/>
            </w:tcMar>
          </w:tcPr>
          <w:p w14:paraId="75F49901" w14:textId="5D6C973D" w:rsidR="003E516D" w:rsidRPr="007A546B" w:rsidRDefault="00C22A2A" w:rsidP="002F3FA6">
            <w:pPr>
              <w:pStyle w:val="TableText"/>
              <w:rPr>
                <w:rFonts w:ascii="Segoe UI" w:hAnsi="Segoe UI" w:cs="Segoe UI"/>
                <w:szCs w:val="18"/>
              </w:rPr>
            </w:pPr>
            <w:r w:rsidRPr="008C2FA3">
              <w:t xml:space="preserve">Strengthen </w:t>
            </w:r>
            <w:r w:rsidR="00A078B7" w:rsidRPr="008C2FA3">
              <w:t xml:space="preserve">near neighbour relationships by </w:t>
            </w:r>
            <w:r w:rsidR="00D6085B" w:rsidRPr="008C2FA3">
              <w:t>consider</w:t>
            </w:r>
            <w:r w:rsidR="00A078B7" w:rsidRPr="008C2FA3">
              <w:t>ing</w:t>
            </w:r>
            <w:r w:rsidR="00B1738A" w:rsidRPr="008C2FA3">
              <w:t xml:space="preserve"> how to build on</w:t>
            </w:r>
            <w:r w:rsidR="00D6085B" w:rsidRPr="008C2FA3">
              <w:t xml:space="preserve"> </w:t>
            </w:r>
            <w:r w:rsidR="00AA3A38" w:rsidRPr="008C2FA3">
              <w:t xml:space="preserve">existing </w:t>
            </w:r>
            <w:r w:rsidR="00D6085B" w:rsidRPr="008C2FA3">
              <w:t>national</w:t>
            </w:r>
            <w:r w:rsidR="00AA3A38" w:rsidRPr="008C2FA3">
              <w:t xml:space="preserve"> </w:t>
            </w:r>
            <w:r w:rsidR="00D6085B" w:rsidRPr="008C2FA3">
              <w:t xml:space="preserve">engagement </w:t>
            </w:r>
            <w:r w:rsidR="00B1738A" w:rsidRPr="008C2FA3">
              <w:t xml:space="preserve">partnerships </w:t>
            </w:r>
            <w:r w:rsidR="00D6085B" w:rsidRPr="008C2FA3">
              <w:t>of relevance to biosecurity, including wildlife</w:t>
            </w:r>
            <w:r w:rsidR="00AC4153" w:rsidRPr="008C2FA3">
              <w:t xml:space="preserve"> and Antimicrobial Resistance</w:t>
            </w:r>
            <w:r w:rsidR="002B75BB" w:rsidRPr="008C2FA3">
              <w:t xml:space="preserve"> (AMR).</w:t>
            </w:r>
          </w:p>
        </w:tc>
      </w:tr>
      <w:tr w:rsidR="00FE2597" w14:paraId="5BDF8918" w14:textId="77777777" w:rsidTr="00FE2597">
        <w:tc>
          <w:tcPr>
            <w:tcW w:w="2268" w:type="dxa"/>
            <w:vMerge w:val="restart"/>
            <w:tcMar>
              <w:left w:w="108" w:type="dxa"/>
              <w:right w:w="108" w:type="dxa"/>
            </w:tcMar>
          </w:tcPr>
          <w:p w14:paraId="55C3B2D8" w14:textId="35E4240A" w:rsidR="00FE2597" w:rsidRPr="00883F03" w:rsidRDefault="00FE2597" w:rsidP="002F3FA6">
            <w:pPr>
              <w:pStyle w:val="TableText"/>
            </w:pPr>
            <w:r w:rsidRPr="008503A0">
              <w:t xml:space="preserve">Priority area </w:t>
            </w:r>
            <w:r>
              <w:t>3</w:t>
            </w:r>
            <w:r w:rsidRPr="008503A0">
              <w:t xml:space="preserve">: </w:t>
            </w:r>
            <w:r w:rsidRPr="00883F03">
              <w:t>Highly skilled workforce</w:t>
            </w:r>
            <w:r>
              <w:t>.</w:t>
            </w:r>
          </w:p>
        </w:tc>
        <w:tc>
          <w:tcPr>
            <w:tcW w:w="6856" w:type="dxa"/>
            <w:tcMar>
              <w:left w:w="108" w:type="dxa"/>
              <w:right w:w="108" w:type="dxa"/>
            </w:tcMar>
          </w:tcPr>
          <w:p w14:paraId="6FCBEA23" w14:textId="099B6CD1" w:rsidR="00145030" w:rsidRDefault="00663719" w:rsidP="002F3FA6">
            <w:pPr>
              <w:pStyle w:val="TableText"/>
            </w:pPr>
            <w:r w:rsidRPr="00663719">
              <w:t>Establish a tertiary education committee to explore how biosecurity can be embedded into existing qualifications, boost awareness of professional roles and explore career pathways at schools including:</w:t>
            </w:r>
          </w:p>
          <w:p w14:paraId="53E61455" w14:textId="77777777" w:rsidR="00FE2597" w:rsidRDefault="00FE2597" w:rsidP="002F3FA6">
            <w:pPr>
              <w:pStyle w:val="TableBullet1"/>
              <w:spacing w:after="0"/>
            </w:pPr>
            <w:r>
              <w:t>primary and secondary teacher professional development</w:t>
            </w:r>
          </w:p>
          <w:p w14:paraId="3CA6D0FA" w14:textId="77777777" w:rsidR="00FE2597" w:rsidRDefault="00FE2597" w:rsidP="002F3FA6">
            <w:pPr>
              <w:pStyle w:val="TableBullet1"/>
              <w:spacing w:after="0"/>
            </w:pPr>
            <w:r>
              <w:t>industry based work experience programs for school-based students</w:t>
            </w:r>
          </w:p>
          <w:p w14:paraId="66ABE753" w14:textId="77777777" w:rsidR="00FE2597" w:rsidRDefault="00FE2597" w:rsidP="002F3FA6">
            <w:pPr>
              <w:pStyle w:val="TableBullet1"/>
              <w:spacing w:after="0"/>
            </w:pPr>
            <w:r>
              <w:t>micro-credentials for industry and related professions</w:t>
            </w:r>
          </w:p>
          <w:p w14:paraId="6BD6598E" w14:textId="77777777" w:rsidR="00FE2597" w:rsidRDefault="00FE2597" w:rsidP="002F3FA6">
            <w:pPr>
              <w:pStyle w:val="TableBullet1"/>
              <w:spacing w:after="0"/>
            </w:pPr>
            <w:r>
              <w:t>joint industry internship programs, and</w:t>
            </w:r>
          </w:p>
          <w:p w14:paraId="193686D6" w14:textId="6BA67DC9" w:rsidR="00D75E79" w:rsidRDefault="00FE2597" w:rsidP="00504C54">
            <w:pPr>
              <w:pStyle w:val="TableBullet1"/>
            </w:pPr>
            <w:r>
              <w:t>development and implementation of national training standards for subjects including surveillance methods, arial marksmen etc to increase emergency response capacity.</w:t>
            </w:r>
          </w:p>
        </w:tc>
      </w:tr>
      <w:tr w:rsidR="00FE2597" w14:paraId="0DC1B6E8" w14:textId="77777777" w:rsidTr="00FE2597">
        <w:tc>
          <w:tcPr>
            <w:tcW w:w="2268" w:type="dxa"/>
            <w:vMerge/>
            <w:tcMar>
              <w:left w:w="108" w:type="dxa"/>
              <w:right w:w="108" w:type="dxa"/>
            </w:tcMar>
          </w:tcPr>
          <w:p w14:paraId="299B5741" w14:textId="77777777" w:rsidR="00FE2597" w:rsidRPr="008503A0" w:rsidRDefault="00FE2597" w:rsidP="002F3FA6">
            <w:pPr>
              <w:pStyle w:val="TableText"/>
            </w:pPr>
          </w:p>
        </w:tc>
        <w:tc>
          <w:tcPr>
            <w:tcW w:w="6856" w:type="dxa"/>
            <w:tcMar>
              <w:left w:w="108" w:type="dxa"/>
              <w:right w:w="108" w:type="dxa"/>
            </w:tcMar>
          </w:tcPr>
          <w:p w14:paraId="476F23EB" w14:textId="77777777" w:rsidR="00FE2597" w:rsidRDefault="00FE2597" w:rsidP="002F3FA6">
            <w:pPr>
              <w:pStyle w:val="TableText"/>
            </w:pPr>
            <w:r>
              <w:t>Leverage</w:t>
            </w:r>
            <w:r w:rsidRPr="00495A96">
              <w:t xml:space="preserve"> links between highly skilled workforce and shared biosecurity culture. For example, if people better understand the value of biosecurity and the link to the work they do, it could help with staff recruitment and retention.</w:t>
            </w:r>
          </w:p>
        </w:tc>
      </w:tr>
      <w:tr w:rsidR="006C19E4" w14:paraId="1205F5D2" w14:textId="77777777" w:rsidTr="00FE2597">
        <w:tc>
          <w:tcPr>
            <w:tcW w:w="2268" w:type="dxa"/>
            <w:vMerge w:val="restart"/>
            <w:tcMar>
              <w:left w:w="108" w:type="dxa"/>
              <w:right w:w="108" w:type="dxa"/>
            </w:tcMar>
          </w:tcPr>
          <w:p w14:paraId="5B928F29" w14:textId="77777777" w:rsidR="006C19E4" w:rsidRPr="00883F03" w:rsidRDefault="006C19E4" w:rsidP="002F3FA6">
            <w:pPr>
              <w:pStyle w:val="TableText"/>
            </w:pPr>
            <w:r w:rsidRPr="008503A0">
              <w:t xml:space="preserve">Priority area </w:t>
            </w:r>
            <w:r>
              <w:t>4</w:t>
            </w:r>
            <w:r w:rsidRPr="008503A0">
              <w:t xml:space="preserve">: </w:t>
            </w:r>
            <w:r w:rsidRPr="00883F03">
              <w:t>Coordinated preparedness and response</w:t>
            </w:r>
            <w:r>
              <w:t>.</w:t>
            </w:r>
          </w:p>
        </w:tc>
        <w:tc>
          <w:tcPr>
            <w:tcW w:w="6856" w:type="dxa"/>
            <w:tcMar>
              <w:left w:w="108" w:type="dxa"/>
              <w:right w:w="108" w:type="dxa"/>
            </w:tcMar>
          </w:tcPr>
          <w:p w14:paraId="208B1088" w14:textId="77777777" w:rsidR="006C19E4" w:rsidRDefault="006C19E4" w:rsidP="002F3FA6">
            <w:pPr>
              <w:pStyle w:val="TableText"/>
            </w:pPr>
            <w:r>
              <w:t>Align biosecurity preparedness and response activities with contemporary principles and governance of emergency disaster management, Covid-19 etc.</w:t>
            </w:r>
          </w:p>
        </w:tc>
      </w:tr>
      <w:tr w:rsidR="006C19E4" w14:paraId="72C011D6" w14:textId="77777777" w:rsidTr="00FE2597">
        <w:tc>
          <w:tcPr>
            <w:tcW w:w="2268" w:type="dxa"/>
            <w:vMerge/>
            <w:tcMar>
              <w:left w:w="108" w:type="dxa"/>
              <w:right w:w="108" w:type="dxa"/>
            </w:tcMar>
          </w:tcPr>
          <w:p w14:paraId="09B4268D" w14:textId="77777777" w:rsidR="006C19E4" w:rsidRPr="008E39F5" w:rsidRDefault="006C19E4" w:rsidP="002F3FA6"/>
        </w:tc>
        <w:tc>
          <w:tcPr>
            <w:tcW w:w="6856" w:type="dxa"/>
            <w:tcMar>
              <w:left w:w="108" w:type="dxa"/>
              <w:right w:w="108" w:type="dxa"/>
            </w:tcMar>
          </w:tcPr>
          <w:p w14:paraId="5F37979C" w14:textId="2985B649" w:rsidR="006C19E4" w:rsidRDefault="006C19E4" w:rsidP="002F3FA6">
            <w:pPr>
              <w:pStyle w:val="TableText"/>
            </w:pPr>
            <w:r>
              <w:t>Develop regional biosecurity response and preparedness capacity and capability. Includes improving community knowledge of invasive pests, diseases and response plans</w:t>
            </w:r>
            <w:r w:rsidR="00727736">
              <w:t>, and traceability</w:t>
            </w:r>
            <w:r>
              <w:t>.</w:t>
            </w:r>
          </w:p>
        </w:tc>
      </w:tr>
      <w:tr w:rsidR="006C19E4" w14:paraId="621C8518" w14:textId="77777777" w:rsidTr="00FE2597">
        <w:tc>
          <w:tcPr>
            <w:tcW w:w="2268" w:type="dxa"/>
            <w:vMerge/>
            <w:tcMar>
              <w:left w:w="108" w:type="dxa"/>
              <w:right w:w="108" w:type="dxa"/>
            </w:tcMar>
          </w:tcPr>
          <w:p w14:paraId="4D793A99" w14:textId="77777777" w:rsidR="006C19E4" w:rsidRPr="008E39F5" w:rsidRDefault="006C19E4" w:rsidP="002F3FA6"/>
        </w:tc>
        <w:tc>
          <w:tcPr>
            <w:tcW w:w="6856" w:type="dxa"/>
            <w:tcMar>
              <w:left w:w="108" w:type="dxa"/>
              <w:right w:w="108" w:type="dxa"/>
            </w:tcMar>
          </w:tcPr>
          <w:p w14:paraId="3EC9E32A" w14:textId="77777777" w:rsidR="006C19E4" w:rsidRDefault="006C19E4" w:rsidP="002F3FA6">
            <w:pPr>
              <w:pStyle w:val="TableText"/>
            </w:pPr>
            <w:r>
              <w:t>Utilise strategic intelligence to inform operational and tactical activities, for example Climate Change data to inform pathway surveillance.</w:t>
            </w:r>
          </w:p>
        </w:tc>
      </w:tr>
      <w:tr w:rsidR="006C19E4" w14:paraId="7AC6A1FC" w14:textId="77777777" w:rsidTr="00FE2597">
        <w:tc>
          <w:tcPr>
            <w:tcW w:w="2268" w:type="dxa"/>
            <w:vMerge/>
            <w:tcMar>
              <w:left w:w="108" w:type="dxa"/>
              <w:right w:w="108" w:type="dxa"/>
            </w:tcMar>
          </w:tcPr>
          <w:p w14:paraId="7B2AC474" w14:textId="77777777" w:rsidR="006C19E4" w:rsidRPr="008E39F5" w:rsidRDefault="006C19E4" w:rsidP="002F3FA6"/>
        </w:tc>
        <w:tc>
          <w:tcPr>
            <w:tcW w:w="6856" w:type="dxa"/>
            <w:tcMar>
              <w:left w:w="108" w:type="dxa"/>
              <w:right w:w="108" w:type="dxa"/>
            </w:tcMar>
          </w:tcPr>
          <w:p w14:paraId="32BF9512" w14:textId="77777777" w:rsidR="006C19E4" w:rsidRDefault="006C19E4" w:rsidP="002F3FA6">
            <w:pPr>
              <w:pStyle w:val="TableText"/>
            </w:pPr>
            <w:r>
              <w:t>Continue to improve coordination through a One Health approach, for example multi-pathogen testing of samples.</w:t>
            </w:r>
          </w:p>
        </w:tc>
      </w:tr>
      <w:tr w:rsidR="006C19E4" w14:paraId="712B876A" w14:textId="77777777" w:rsidTr="00FE2597">
        <w:tc>
          <w:tcPr>
            <w:tcW w:w="2268" w:type="dxa"/>
            <w:vMerge/>
            <w:tcMar>
              <w:left w:w="108" w:type="dxa"/>
              <w:right w:w="108" w:type="dxa"/>
            </w:tcMar>
          </w:tcPr>
          <w:p w14:paraId="31414792" w14:textId="77777777" w:rsidR="006C19E4" w:rsidRPr="008E39F5" w:rsidRDefault="006C19E4" w:rsidP="002F3FA6"/>
        </w:tc>
        <w:tc>
          <w:tcPr>
            <w:tcW w:w="6856" w:type="dxa"/>
            <w:tcMar>
              <w:left w:w="108" w:type="dxa"/>
              <w:right w:w="108" w:type="dxa"/>
            </w:tcMar>
          </w:tcPr>
          <w:p w14:paraId="30636BCE" w14:textId="77777777" w:rsidR="006C19E4" w:rsidRDefault="006C19E4" w:rsidP="002F3FA6">
            <w:pPr>
              <w:pStyle w:val="TableText"/>
            </w:pPr>
            <w:r>
              <w:t>Conduct a national capacity needs assessment of all molecular diagnostic laboratories that support testing to identify biosecurity risks.</w:t>
            </w:r>
          </w:p>
        </w:tc>
      </w:tr>
      <w:tr w:rsidR="006C19E4" w14:paraId="6E703DD9" w14:textId="77777777" w:rsidTr="00FE2597">
        <w:tc>
          <w:tcPr>
            <w:tcW w:w="2268" w:type="dxa"/>
            <w:vMerge/>
            <w:tcMar>
              <w:left w:w="108" w:type="dxa"/>
              <w:right w:w="108" w:type="dxa"/>
            </w:tcMar>
          </w:tcPr>
          <w:p w14:paraId="2DF6D596" w14:textId="77777777" w:rsidR="006C19E4" w:rsidRPr="008E39F5" w:rsidRDefault="006C19E4" w:rsidP="002F3FA6"/>
        </w:tc>
        <w:tc>
          <w:tcPr>
            <w:tcW w:w="6856" w:type="dxa"/>
            <w:tcMar>
              <w:left w:w="108" w:type="dxa"/>
              <w:right w:w="108" w:type="dxa"/>
            </w:tcMar>
          </w:tcPr>
          <w:p w14:paraId="716C9A81" w14:textId="47A0FA6D" w:rsidR="006C19E4" w:rsidRDefault="006C19E4" w:rsidP="002F3FA6">
            <w:pPr>
              <w:pStyle w:val="TableText"/>
            </w:pPr>
            <w:r>
              <w:t>Investigate the development of a national, coordinated surveillance data-sharing and response system for surveillance activities.</w:t>
            </w:r>
          </w:p>
        </w:tc>
      </w:tr>
      <w:tr w:rsidR="006C19E4" w14:paraId="7F3F3DDC" w14:textId="77777777" w:rsidTr="00FE2597">
        <w:tc>
          <w:tcPr>
            <w:tcW w:w="2268" w:type="dxa"/>
            <w:vMerge/>
            <w:tcMar>
              <w:left w:w="108" w:type="dxa"/>
              <w:right w:w="108" w:type="dxa"/>
            </w:tcMar>
          </w:tcPr>
          <w:p w14:paraId="630198C1" w14:textId="77777777" w:rsidR="006C19E4" w:rsidRPr="008E39F5" w:rsidRDefault="006C19E4" w:rsidP="002F3FA6"/>
        </w:tc>
        <w:tc>
          <w:tcPr>
            <w:tcW w:w="6856" w:type="dxa"/>
            <w:tcMar>
              <w:left w:w="108" w:type="dxa"/>
              <w:right w:w="108" w:type="dxa"/>
            </w:tcMar>
          </w:tcPr>
          <w:p w14:paraId="4F4E05BF" w14:textId="77777777" w:rsidR="006C19E4" w:rsidRPr="008E55E5" w:rsidRDefault="006C19E4" w:rsidP="002F3FA6">
            <w:pPr>
              <w:pStyle w:val="TableText"/>
            </w:pPr>
            <w:r w:rsidRPr="6BFA0F4E">
              <w:t>Develop environmentally appropriate benchmarking across different types of risks to ensure environmental risks are fully accounted for in prioritisation.</w:t>
            </w:r>
          </w:p>
        </w:tc>
      </w:tr>
      <w:tr w:rsidR="006C19E4" w14:paraId="040568C4" w14:textId="77777777" w:rsidTr="00FE2597">
        <w:tc>
          <w:tcPr>
            <w:tcW w:w="2268" w:type="dxa"/>
            <w:vMerge/>
            <w:tcMar>
              <w:left w:w="108" w:type="dxa"/>
              <w:right w:w="108" w:type="dxa"/>
            </w:tcMar>
          </w:tcPr>
          <w:p w14:paraId="1E13EE50" w14:textId="77777777" w:rsidR="006C19E4" w:rsidRPr="008E39F5" w:rsidRDefault="006C19E4" w:rsidP="002F3FA6"/>
        </w:tc>
        <w:tc>
          <w:tcPr>
            <w:tcW w:w="6856" w:type="dxa"/>
            <w:tcMar>
              <w:left w:w="108" w:type="dxa"/>
              <w:right w:w="108" w:type="dxa"/>
            </w:tcMar>
          </w:tcPr>
          <w:p w14:paraId="7DAA2975" w14:textId="665B78B2" w:rsidR="006717D0" w:rsidRPr="005A5D8B" w:rsidRDefault="00173F3A" w:rsidP="002F3FA6">
            <w:pPr>
              <w:pStyle w:val="TableText"/>
              <w:rPr>
                <w:rFonts w:ascii="Segoe UI" w:hAnsi="Segoe UI" w:cs="Segoe UI"/>
              </w:rPr>
            </w:pPr>
            <w:r>
              <w:rPr>
                <w:rStyle w:val="cf01"/>
              </w:rPr>
              <w:t xml:space="preserve">Review and investigate </w:t>
            </w:r>
            <w:r w:rsidR="003002A7">
              <w:rPr>
                <w:rStyle w:val="cf01"/>
              </w:rPr>
              <w:t>ways to strengthen traceability of biosecurity risks associated with the aquatic sector</w:t>
            </w:r>
            <w:r w:rsidR="005A5D8B">
              <w:rPr>
                <w:rStyle w:val="cf01"/>
              </w:rPr>
              <w:t>.</w:t>
            </w:r>
          </w:p>
        </w:tc>
      </w:tr>
      <w:tr w:rsidR="00FE2597" w14:paraId="0A082D27" w14:textId="77777777" w:rsidTr="00FE2597">
        <w:tc>
          <w:tcPr>
            <w:tcW w:w="2268" w:type="dxa"/>
            <w:vMerge w:val="restart"/>
            <w:tcMar>
              <w:left w:w="108" w:type="dxa"/>
              <w:right w:w="108" w:type="dxa"/>
            </w:tcMar>
          </w:tcPr>
          <w:p w14:paraId="38351A15" w14:textId="77777777" w:rsidR="00FE2597" w:rsidRPr="00883F03" w:rsidRDefault="00FE2597" w:rsidP="002F3FA6">
            <w:pPr>
              <w:pStyle w:val="TableText"/>
            </w:pPr>
            <w:r w:rsidRPr="008503A0">
              <w:t xml:space="preserve">Priority area </w:t>
            </w:r>
            <w:r>
              <w:t>5</w:t>
            </w:r>
            <w:r w:rsidRPr="008503A0">
              <w:t xml:space="preserve">: </w:t>
            </w:r>
            <w:r w:rsidRPr="00883F03">
              <w:t>Sustainable investment</w:t>
            </w:r>
            <w:r>
              <w:t>.</w:t>
            </w:r>
          </w:p>
        </w:tc>
        <w:tc>
          <w:tcPr>
            <w:tcW w:w="6856" w:type="dxa"/>
            <w:tcMar>
              <w:left w:w="108" w:type="dxa"/>
              <w:right w:w="108" w:type="dxa"/>
            </w:tcMar>
          </w:tcPr>
          <w:p w14:paraId="68366687" w14:textId="77777777" w:rsidR="00FE2597" w:rsidRDefault="00FE2597" w:rsidP="002F3FA6">
            <w:pPr>
              <w:pStyle w:val="TableText"/>
            </w:pPr>
            <w:r>
              <w:t>Productivity Commission report into the value of the biosecurity system to inform risk-based investment decisions. Consider quantifying contributions to biosecurity made by producers.</w:t>
            </w:r>
          </w:p>
        </w:tc>
      </w:tr>
      <w:tr w:rsidR="00FE2597" w14:paraId="7FB365F1" w14:textId="77777777" w:rsidTr="00FE2597">
        <w:tc>
          <w:tcPr>
            <w:tcW w:w="2268" w:type="dxa"/>
            <w:vMerge/>
            <w:tcMar>
              <w:left w:w="108" w:type="dxa"/>
              <w:right w:w="108" w:type="dxa"/>
            </w:tcMar>
          </w:tcPr>
          <w:p w14:paraId="76B8D80E" w14:textId="77777777" w:rsidR="00FE2597" w:rsidRDefault="00FE2597" w:rsidP="002F3FA6">
            <w:pPr>
              <w:pStyle w:val="TableText"/>
            </w:pPr>
          </w:p>
        </w:tc>
        <w:tc>
          <w:tcPr>
            <w:tcW w:w="6856" w:type="dxa"/>
            <w:tcMar>
              <w:left w:w="108" w:type="dxa"/>
              <w:right w:w="108" w:type="dxa"/>
            </w:tcMar>
          </w:tcPr>
          <w:p w14:paraId="2C457557" w14:textId="77777777" w:rsidR="00FE2597" w:rsidRDefault="00FE2597" w:rsidP="002F3FA6">
            <w:pPr>
              <w:pStyle w:val="TableText"/>
            </w:pPr>
            <w:r>
              <w:t>Build on findings of CEBRA work investigating feasibility of an insurance scheme to raise funds to address biosecurity risks caused by international shipping and other international risk creators.</w:t>
            </w:r>
          </w:p>
        </w:tc>
      </w:tr>
      <w:tr w:rsidR="00FE2597" w14:paraId="5F19459F" w14:textId="77777777" w:rsidTr="00FE2597">
        <w:tc>
          <w:tcPr>
            <w:tcW w:w="2268" w:type="dxa"/>
            <w:vMerge/>
            <w:tcMar>
              <w:left w:w="108" w:type="dxa"/>
              <w:right w:w="108" w:type="dxa"/>
            </w:tcMar>
          </w:tcPr>
          <w:p w14:paraId="205AB880" w14:textId="77777777" w:rsidR="00FE2597" w:rsidRDefault="00FE2597" w:rsidP="002F3FA6"/>
        </w:tc>
        <w:tc>
          <w:tcPr>
            <w:tcW w:w="6856" w:type="dxa"/>
            <w:tcMar>
              <w:left w:w="108" w:type="dxa"/>
              <w:right w:w="108" w:type="dxa"/>
            </w:tcMar>
          </w:tcPr>
          <w:p w14:paraId="5364DA58" w14:textId="77777777" w:rsidR="00FE2597" w:rsidRDefault="00FE2597" w:rsidP="002F3FA6">
            <w:pPr>
              <w:pStyle w:val="TableText"/>
            </w:pPr>
            <w:r>
              <w:t>Investigate feasibility of a Biosecurity Future Fund.</w:t>
            </w:r>
          </w:p>
        </w:tc>
      </w:tr>
      <w:tr w:rsidR="00FE2597" w14:paraId="180F2935" w14:textId="77777777" w:rsidTr="00FE2597">
        <w:tc>
          <w:tcPr>
            <w:tcW w:w="2268" w:type="dxa"/>
            <w:vMerge/>
            <w:tcMar>
              <w:left w:w="108" w:type="dxa"/>
              <w:right w:w="108" w:type="dxa"/>
            </w:tcMar>
          </w:tcPr>
          <w:p w14:paraId="6790D4ED" w14:textId="77777777" w:rsidR="00FE2597" w:rsidRDefault="00FE2597" w:rsidP="002F3FA6"/>
        </w:tc>
        <w:tc>
          <w:tcPr>
            <w:tcW w:w="6856" w:type="dxa"/>
            <w:tcMar>
              <w:left w:w="108" w:type="dxa"/>
              <w:right w:w="108" w:type="dxa"/>
            </w:tcMar>
          </w:tcPr>
          <w:p w14:paraId="3A458514" w14:textId="77777777" w:rsidR="00FE2597" w:rsidRPr="00EB77F8" w:rsidRDefault="00FE2597" w:rsidP="002F3FA6">
            <w:pPr>
              <w:pStyle w:val="TableText"/>
            </w:pPr>
            <w:r w:rsidRPr="00EB77F8">
              <w:t xml:space="preserve">Review and consider expansion of emergency response deeds (EPPRD, EADRA, NEBRA) to include national containment </w:t>
            </w:r>
            <w:proofErr w:type="gramStart"/>
            <w:r w:rsidRPr="00EB77F8">
              <w:t>where</w:t>
            </w:r>
            <w:proofErr w:type="gramEnd"/>
            <w:r w:rsidRPr="00EB77F8">
              <w:t xml:space="preserve"> cost beneficial.</w:t>
            </w:r>
          </w:p>
        </w:tc>
      </w:tr>
      <w:tr w:rsidR="00FE2597" w14:paraId="780B63B1" w14:textId="77777777" w:rsidTr="00FE2597">
        <w:tc>
          <w:tcPr>
            <w:tcW w:w="2268" w:type="dxa"/>
            <w:vMerge/>
            <w:tcMar>
              <w:left w:w="108" w:type="dxa"/>
              <w:right w:w="108" w:type="dxa"/>
            </w:tcMar>
          </w:tcPr>
          <w:p w14:paraId="18ACA109" w14:textId="77777777" w:rsidR="00FE2597" w:rsidRDefault="00FE2597" w:rsidP="002F3FA6"/>
        </w:tc>
        <w:tc>
          <w:tcPr>
            <w:tcW w:w="6856" w:type="dxa"/>
            <w:tcMar>
              <w:left w:w="108" w:type="dxa"/>
              <w:right w:w="108" w:type="dxa"/>
            </w:tcMar>
          </w:tcPr>
          <w:p w14:paraId="31AA9463" w14:textId="77777777" w:rsidR="00FE2597" w:rsidRPr="00EB77F8" w:rsidRDefault="00FE2597" w:rsidP="002F3FA6">
            <w:pPr>
              <w:pStyle w:val="TableText"/>
              <w:rPr>
                <w:highlight w:val="yellow"/>
              </w:rPr>
            </w:pPr>
            <w:r>
              <w:t>Investigate a national model for routinely co-investing in biological control.</w:t>
            </w:r>
          </w:p>
        </w:tc>
      </w:tr>
      <w:tr w:rsidR="00807AA1" w14:paraId="4D1FB1A2" w14:textId="77777777" w:rsidTr="00FE2597">
        <w:tc>
          <w:tcPr>
            <w:tcW w:w="2268" w:type="dxa"/>
            <w:vMerge w:val="restart"/>
            <w:tcMar>
              <w:left w:w="108" w:type="dxa"/>
              <w:right w:w="108" w:type="dxa"/>
            </w:tcMar>
          </w:tcPr>
          <w:p w14:paraId="226F921C" w14:textId="26661945" w:rsidR="00807AA1" w:rsidRPr="008503A0" w:rsidRDefault="00807AA1" w:rsidP="00FE2597">
            <w:pPr>
              <w:pStyle w:val="TableText"/>
            </w:pPr>
            <w:r w:rsidRPr="008503A0">
              <w:t xml:space="preserve">Priority area </w:t>
            </w:r>
            <w:r>
              <w:t>6</w:t>
            </w:r>
            <w:r w:rsidRPr="008503A0">
              <w:t>: Integration supported by technology, research and data</w:t>
            </w:r>
            <w:r>
              <w:t>.</w:t>
            </w:r>
          </w:p>
        </w:tc>
        <w:tc>
          <w:tcPr>
            <w:tcW w:w="6856" w:type="dxa"/>
            <w:tcMar>
              <w:left w:w="108" w:type="dxa"/>
              <w:right w:w="108" w:type="dxa"/>
            </w:tcMar>
          </w:tcPr>
          <w:p w14:paraId="2D450D65" w14:textId="77777777" w:rsidR="00807AA1" w:rsidRDefault="00807AA1" w:rsidP="002F3FA6">
            <w:pPr>
              <w:pStyle w:val="TableText"/>
            </w:pPr>
            <w:r>
              <w:t>Develop a national biosecurity data strategy.</w:t>
            </w:r>
          </w:p>
        </w:tc>
      </w:tr>
      <w:tr w:rsidR="00807AA1" w14:paraId="7135BCB6" w14:textId="77777777" w:rsidTr="00FE2597">
        <w:tc>
          <w:tcPr>
            <w:tcW w:w="2268" w:type="dxa"/>
            <w:vMerge/>
            <w:tcMar>
              <w:left w:w="108" w:type="dxa"/>
              <w:right w:w="108" w:type="dxa"/>
            </w:tcMar>
          </w:tcPr>
          <w:p w14:paraId="53EE7ACD" w14:textId="77777777" w:rsidR="00807AA1" w:rsidRDefault="00807AA1" w:rsidP="002F3FA6">
            <w:pPr>
              <w:pStyle w:val="TableText"/>
            </w:pPr>
          </w:p>
        </w:tc>
        <w:tc>
          <w:tcPr>
            <w:tcW w:w="6856" w:type="dxa"/>
            <w:tcMar>
              <w:left w:w="108" w:type="dxa"/>
              <w:right w:w="108" w:type="dxa"/>
            </w:tcMar>
          </w:tcPr>
          <w:p w14:paraId="7EE9FA56" w14:textId="10221FC2" w:rsidR="00807AA1" w:rsidRDefault="00807AA1" w:rsidP="002F3FA6">
            <w:pPr>
              <w:pStyle w:val="TableText"/>
            </w:pPr>
            <w:r>
              <w:t>Use AI to strengthen data collection combined with auto-scanning or updating platforms – to upload and extract data to address national, state and local priorities.</w:t>
            </w:r>
          </w:p>
        </w:tc>
      </w:tr>
      <w:tr w:rsidR="00807AA1" w14:paraId="26DE1A5E" w14:textId="77777777" w:rsidTr="00FE2597">
        <w:tc>
          <w:tcPr>
            <w:tcW w:w="2268" w:type="dxa"/>
            <w:vMerge/>
            <w:tcMar>
              <w:left w:w="108" w:type="dxa"/>
              <w:right w:w="108" w:type="dxa"/>
            </w:tcMar>
          </w:tcPr>
          <w:p w14:paraId="35957B8B" w14:textId="77777777" w:rsidR="00807AA1" w:rsidRDefault="00807AA1" w:rsidP="002F3FA6">
            <w:pPr>
              <w:pStyle w:val="TableText"/>
            </w:pPr>
          </w:p>
        </w:tc>
        <w:tc>
          <w:tcPr>
            <w:tcW w:w="6856" w:type="dxa"/>
            <w:tcMar>
              <w:left w:w="108" w:type="dxa"/>
              <w:right w:w="108" w:type="dxa"/>
            </w:tcMar>
          </w:tcPr>
          <w:p w14:paraId="42B14CDA" w14:textId="77777777" w:rsidR="00807AA1" w:rsidRDefault="00807AA1" w:rsidP="002F3FA6">
            <w:pPr>
              <w:pStyle w:val="TableText"/>
            </w:pPr>
            <w:r>
              <w:t>Support development of next generation intervention technologies (novel vaccines, genetic control options, novel biopesticides).</w:t>
            </w:r>
          </w:p>
        </w:tc>
      </w:tr>
      <w:tr w:rsidR="00807AA1" w14:paraId="233606BB" w14:textId="77777777" w:rsidTr="00FE2597">
        <w:tc>
          <w:tcPr>
            <w:tcW w:w="2268" w:type="dxa"/>
            <w:vMerge/>
            <w:tcMar>
              <w:left w:w="108" w:type="dxa"/>
              <w:right w:w="108" w:type="dxa"/>
            </w:tcMar>
          </w:tcPr>
          <w:p w14:paraId="31A65374" w14:textId="77777777" w:rsidR="00807AA1" w:rsidRDefault="00807AA1" w:rsidP="002F3FA6"/>
        </w:tc>
        <w:tc>
          <w:tcPr>
            <w:tcW w:w="6856" w:type="dxa"/>
            <w:tcMar>
              <w:left w:w="108" w:type="dxa"/>
              <w:right w:w="108" w:type="dxa"/>
            </w:tcMar>
          </w:tcPr>
          <w:p w14:paraId="54DC51AC" w14:textId="77777777" w:rsidR="00807AA1" w:rsidRDefault="00807AA1" w:rsidP="002F3FA6">
            <w:pPr>
              <w:pStyle w:val="TableText"/>
            </w:pPr>
            <w:r>
              <w:t>Universities and governments engage in citizen science initiatives to broaden data collection. E.g. beekeepers contribute to research on Varroa control or breeding programs.</w:t>
            </w:r>
          </w:p>
        </w:tc>
      </w:tr>
      <w:tr w:rsidR="00807AA1" w14:paraId="7DD1C460" w14:textId="77777777" w:rsidTr="00FE2597">
        <w:tc>
          <w:tcPr>
            <w:tcW w:w="2268" w:type="dxa"/>
            <w:vMerge/>
            <w:tcMar>
              <w:left w:w="108" w:type="dxa"/>
              <w:right w:w="108" w:type="dxa"/>
            </w:tcMar>
          </w:tcPr>
          <w:p w14:paraId="6AAD0634" w14:textId="77777777" w:rsidR="00807AA1" w:rsidRDefault="00807AA1" w:rsidP="002F3FA6"/>
        </w:tc>
        <w:tc>
          <w:tcPr>
            <w:tcW w:w="6856" w:type="dxa"/>
            <w:tcMar>
              <w:left w:w="108" w:type="dxa"/>
              <w:right w:w="108" w:type="dxa"/>
            </w:tcMar>
          </w:tcPr>
          <w:p w14:paraId="0AD3E3AB" w14:textId="77777777" w:rsidR="00807AA1" w:rsidRPr="00BE3B8D" w:rsidRDefault="00807AA1" w:rsidP="002F3FA6">
            <w:pPr>
              <w:pStyle w:val="TableText"/>
            </w:pPr>
            <w:r w:rsidRPr="00BE3B8D">
              <w:t>Investigate the feasibility of sharing surveillance data with stakeholders in real-time.</w:t>
            </w:r>
          </w:p>
        </w:tc>
      </w:tr>
      <w:tr w:rsidR="00807AA1" w14:paraId="47ED97B4" w14:textId="77777777" w:rsidTr="00FE2597">
        <w:tc>
          <w:tcPr>
            <w:tcW w:w="2268" w:type="dxa"/>
            <w:vMerge/>
            <w:tcMar>
              <w:left w:w="108" w:type="dxa"/>
              <w:right w:w="108" w:type="dxa"/>
            </w:tcMar>
          </w:tcPr>
          <w:p w14:paraId="73678BFC" w14:textId="77777777" w:rsidR="00807AA1" w:rsidRDefault="00807AA1" w:rsidP="002F3FA6"/>
        </w:tc>
        <w:tc>
          <w:tcPr>
            <w:tcW w:w="6856" w:type="dxa"/>
            <w:tcMar>
              <w:left w:w="108" w:type="dxa"/>
              <w:right w:w="108" w:type="dxa"/>
            </w:tcMar>
          </w:tcPr>
          <w:p w14:paraId="66723F27" w14:textId="77777777" w:rsidR="00807AA1" w:rsidRPr="00BE3B8D" w:rsidRDefault="00807AA1" w:rsidP="002F3FA6">
            <w:pPr>
              <w:pStyle w:val="TableText"/>
            </w:pPr>
            <w:r w:rsidRPr="00BE3B8D">
              <w:t>Investigate a nationally harmonised process for diagnostic sample submission and testing for notifiable, exotic or emergency animal diseases.</w:t>
            </w:r>
          </w:p>
        </w:tc>
      </w:tr>
      <w:tr w:rsidR="00807AA1" w14:paraId="399BFBF1" w14:textId="77777777" w:rsidTr="00FE2597">
        <w:tc>
          <w:tcPr>
            <w:tcW w:w="2268" w:type="dxa"/>
            <w:vMerge/>
            <w:tcMar>
              <w:left w:w="108" w:type="dxa"/>
              <w:right w:w="108" w:type="dxa"/>
            </w:tcMar>
          </w:tcPr>
          <w:p w14:paraId="00E1BABF" w14:textId="77777777" w:rsidR="00807AA1" w:rsidRDefault="00807AA1" w:rsidP="002F3FA6"/>
        </w:tc>
        <w:tc>
          <w:tcPr>
            <w:tcW w:w="6856" w:type="dxa"/>
            <w:tcMar>
              <w:left w:w="108" w:type="dxa"/>
              <w:right w:w="108" w:type="dxa"/>
            </w:tcMar>
          </w:tcPr>
          <w:p w14:paraId="6EC5E981" w14:textId="77777777" w:rsidR="00807AA1" w:rsidRPr="00601371" w:rsidRDefault="00807AA1" w:rsidP="002F3FA6">
            <w:pPr>
              <w:pStyle w:val="TableText"/>
            </w:pPr>
            <w:r w:rsidRPr="400D9AE9">
              <w:t>Publish all data needed to assess how well Australia is tracking against environmental commitments, including the global biodiversity framework target 6.</w:t>
            </w:r>
            <w:r w:rsidRPr="67CF63CF">
              <w:t xml:space="preserve"> Publish the weed risk assessments informing plant import decisions.</w:t>
            </w:r>
          </w:p>
        </w:tc>
      </w:tr>
      <w:tr w:rsidR="00807AA1" w14:paraId="6268EE29" w14:textId="77777777" w:rsidTr="00FE2597">
        <w:tc>
          <w:tcPr>
            <w:tcW w:w="2268" w:type="dxa"/>
            <w:vMerge/>
            <w:tcMar>
              <w:left w:w="108" w:type="dxa"/>
              <w:right w:w="108" w:type="dxa"/>
            </w:tcMar>
          </w:tcPr>
          <w:p w14:paraId="301D1828" w14:textId="77777777" w:rsidR="00807AA1" w:rsidRDefault="00807AA1" w:rsidP="002F3FA6"/>
        </w:tc>
        <w:tc>
          <w:tcPr>
            <w:tcW w:w="6856" w:type="dxa"/>
            <w:tcMar>
              <w:left w:w="108" w:type="dxa"/>
              <w:right w:w="108" w:type="dxa"/>
            </w:tcMar>
          </w:tcPr>
          <w:p w14:paraId="67347492" w14:textId="77777777" w:rsidR="00807AA1" w:rsidRPr="00601371" w:rsidRDefault="00807AA1" w:rsidP="002F3FA6">
            <w:pPr>
              <w:pStyle w:val="TableText"/>
            </w:pPr>
            <w:r>
              <w:t>Prioritise</w:t>
            </w:r>
            <w:r w:rsidRPr="400D9AE9">
              <w:t xml:space="preserve"> funding for environmental biosecurity RD&amp;E to support delivery of the National Environment and Community Biosecurity Research, Development and Extension Strategy.</w:t>
            </w:r>
          </w:p>
        </w:tc>
      </w:tr>
      <w:tr w:rsidR="00807AA1" w14:paraId="2021A9D9" w14:textId="77777777" w:rsidTr="00FE2597">
        <w:tc>
          <w:tcPr>
            <w:tcW w:w="2268" w:type="dxa"/>
            <w:vMerge/>
            <w:tcMar>
              <w:left w:w="108" w:type="dxa"/>
              <w:right w:w="108" w:type="dxa"/>
            </w:tcMar>
          </w:tcPr>
          <w:p w14:paraId="6A4854EA" w14:textId="77777777" w:rsidR="00807AA1" w:rsidRDefault="00807AA1" w:rsidP="002F3FA6"/>
        </w:tc>
        <w:tc>
          <w:tcPr>
            <w:tcW w:w="6856" w:type="dxa"/>
            <w:tcMar>
              <w:left w:w="108" w:type="dxa"/>
              <w:right w:w="108" w:type="dxa"/>
            </w:tcMar>
          </w:tcPr>
          <w:p w14:paraId="73EE82ED" w14:textId="3B9545EE" w:rsidR="007A07D3" w:rsidRDefault="00706106" w:rsidP="007A07D3">
            <w:pPr>
              <w:pStyle w:val="TableText"/>
            </w:pPr>
            <w:r>
              <w:t xml:space="preserve">Develop a roadmap </w:t>
            </w:r>
            <w:r w:rsidR="0025502A">
              <w:t xml:space="preserve">that </w:t>
            </w:r>
            <w:r w:rsidR="00ED39D5">
              <w:t>can promote</w:t>
            </w:r>
            <w:r>
              <w:t xml:space="preserve"> </w:t>
            </w:r>
            <w:r w:rsidR="00CD2FD1">
              <w:t xml:space="preserve">a shared understanding, </w:t>
            </w:r>
            <w:r w:rsidR="00160B79">
              <w:t>identif</w:t>
            </w:r>
            <w:r w:rsidR="00ED39D5">
              <w:t>y</w:t>
            </w:r>
            <w:r w:rsidR="004E0E1D">
              <w:t xml:space="preserve"> </w:t>
            </w:r>
            <w:r w:rsidR="00CD2FD1">
              <w:t xml:space="preserve">priorities and </w:t>
            </w:r>
            <w:r w:rsidR="00ED39D5">
              <w:t xml:space="preserve">highlight </w:t>
            </w:r>
            <w:r w:rsidR="004E0E1D">
              <w:t xml:space="preserve">the </w:t>
            </w:r>
            <w:r w:rsidR="00CD2FD1">
              <w:t xml:space="preserve">value </w:t>
            </w:r>
            <w:r w:rsidR="00D43C09">
              <w:t>of invest</w:t>
            </w:r>
            <w:r w:rsidR="00C00DC3">
              <w:t>ing</w:t>
            </w:r>
            <w:r w:rsidR="00D43C09">
              <w:t xml:space="preserve"> </w:t>
            </w:r>
            <w:r w:rsidR="00C00DC3">
              <w:t>in technology, research and data.</w:t>
            </w:r>
          </w:p>
        </w:tc>
      </w:tr>
    </w:tbl>
    <w:p w14:paraId="1FC15E64" w14:textId="77777777" w:rsidR="00FE2597" w:rsidRDefault="00FE2597"/>
    <w:p w14:paraId="08F2B380" w14:textId="77777777" w:rsidR="00764D6A" w:rsidRDefault="00E91D72" w:rsidP="007E39EF">
      <w:pPr>
        <w:pStyle w:val="Heading2"/>
        <w:numPr>
          <w:ilvl w:val="0"/>
          <w:numId w:val="0"/>
        </w:numPr>
        <w:ind w:left="720" w:hanging="720"/>
      </w:pPr>
      <w:bookmarkStart w:id="49" w:name="_Toc430782161"/>
      <w:bookmarkStart w:id="50" w:name="_Toc174097866"/>
      <w:r>
        <w:lastRenderedPageBreak/>
        <w:t>Glossary</w:t>
      </w:r>
      <w:bookmarkEnd w:id="49"/>
      <w:bookmarkEnd w:id="50"/>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7"/>
        <w:gridCol w:w="6803"/>
      </w:tblGrid>
      <w:tr w:rsidR="00FE64BC" w14:paraId="045680A8" w14:textId="77777777" w:rsidTr="00FE64BC">
        <w:trPr>
          <w:cantSplit/>
          <w:tblHeader/>
        </w:trPr>
        <w:tc>
          <w:tcPr>
            <w:tcW w:w="1250" w:type="pct"/>
            <w:tcMar>
              <w:left w:w="108" w:type="dxa"/>
              <w:right w:w="108" w:type="dxa"/>
            </w:tcMar>
          </w:tcPr>
          <w:p w14:paraId="61DCF44A" w14:textId="77777777" w:rsidR="00FE64BC" w:rsidRPr="00FE64BC" w:rsidRDefault="00FE64BC" w:rsidP="00FE64BC">
            <w:pPr>
              <w:pStyle w:val="TableHeading"/>
            </w:pPr>
            <w:bookmarkStart w:id="51" w:name="Title_Glossary"/>
            <w:bookmarkEnd w:id="51"/>
            <w:r w:rsidRPr="00FE64BC">
              <w:t>Term</w:t>
            </w:r>
          </w:p>
        </w:tc>
        <w:tc>
          <w:tcPr>
            <w:tcW w:w="3750" w:type="pct"/>
            <w:tcMar>
              <w:left w:w="108" w:type="dxa"/>
              <w:right w:w="108" w:type="dxa"/>
            </w:tcMar>
          </w:tcPr>
          <w:p w14:paraId="74949CF6" w14:textId="77777777" w:rsidR="00FE64BC" w:rsidRPr="00FE64BC" w:rsidRDefault="00FE64BC" w:rsidP="00FE64BC">
            <w:pPr>
              <w:pStyle w:val="TableHeading"/>
            </w:pPr>
            <w:r w:rsidRPr="00FE64BC">
              <w:t>Definition</w:t>
            </w:r>
          </w:p>
        </w:tc>
      </w:tr>
      <w:tr w:rsidR="00744D64" w14:paraId="3A34B353" w14:textId="77777777" w:rsidTr="00FE64BC">
        <w:tc>
          <w:tcPr>
            <w:tcW w:w="1250" w:type="pct"/>
            <w:tcMar>
              <w:left w:w="108" w:type="dxa"/>
              <w:right w:w="108" w:type="dxa"/>
            </w:tcMar>
          </w:tcPr>
          <w:p w14:paraId="0592671B" w14:textId="5E69F370" w:rsidR="00744D64" w:rsidRPr="00FE64BC" w:rsidRDefault="00744D64" w:rsidP="00744D64">
            <w:pPr>
              <w:pStyle w:val="TableText"/>
            </w:pPr>
            <w:r w:rsidRPr="00842C8F">
              <w:t>activities</w:t>
            </w:r>
          </w:p>
        </w:tc>
        <w:tc>
          <w:tcPr>
            <w:tcW w:w="3750" w:type="pct"/>
            <w:tcMar>
              <w:left w:w="108" w:type="dxa"/>
              <w:right w:w="108" w:type="dxa"/>
            </w:tcMar>
          </w:tcPr>
          <w:p w14:paraId="5C8A2184" w14:textId="594E783E" w:rsidR="00744D64" w:rsidRPr="00FE64BC" w:rsidRDefault="00744D64" w:rsidP="00744D64">
            <w:pPr>
              <w:pStyle w:val="TableText"/>
            </w:pPr>
            <w:r w:rsidRPr="00842C8F">
              <w:t>A</w:t>
            </w:r>
            <w:r w:rsidR="00317BF3">
              <w:t>ction plan a</w:t>
            </w:r>
            <w:r w:rsidRPr="00842C8F">
              <w:t xml:space="preserve">ctivities that contribute towards delivering the initial </w:t>
            </w:r>
            <w:r w:rsidR="00317BF3">
              <w:t xml:space="preserve">36 </w:t>
            </w:r>
            <w:r w:rsidRPr="00842C8F">
              <w:t>action</w:t>
            </w:r>
            <w:r w:rsidR="00317BF3">
              <w:t>s in the NBS</w:t>
            </w:r>
            <w:r w:rsidRPr="00842C8F">
              <w:t>.</w:t>
            </w:r>
          </w:p>
        </w:tc>
      </w:tr>
      <w:tr w:rsidR="00744D64" w14:paraId="0241C521" w14:textId="77777777" w:rsidTr="00FE64BC">
        <w:tc>
          <w:tcPr>
            <w:tcW w:w="1250" w:type="pct"/>
            <w:tcMar>
              <w:left w:w="108" w:type="dxa"/>
              <w:right w:w="108" w:type="dxa"/>
            </w:tcMar>
          </w:tcPr>
          <w:p w14:paraId="12D03FFC" w14:textId="6A51E2E2" w:rsidR="00744D64" w:rsidRPr="00FE64BC" w:rsidRDefault="00744D64" w:rsidP="00744D64">
            <w:pPr>
              <w:pStyle w:val="TableText"/>
            </w:pPr>
            <w:r w:rsidRPr="00842C8F">
              <w:t>AGSOC</w:t>
            </w:r>
          </w:p>
        </w:tc>
        <w:tc>
          <w:tcPr>
            <w:tcW w:w="3750" w:type="pct"/>
            <w:tcMar>
              <w:left w:w="108" w:type="dxa"/>
              <w:right w:w="108" w:type="dxa"/>
            </w:tcMar>
          </w:tcPr>
          <w:p w14:paraId="5A336F4D" w14:textId="7C90B5FF" w:rsidR="00744D64" w:rsidRPr="00FE64BC" w:rsidRDefault="00744D64" w:rsidP="00744D64">
            <w:pPr>
              <w:pStyle w:val="TableText"/>
            </w:pPr>
            <w:r w:rsidRPr="00842C8F">
              <w:t>Agriculture Senior Officials Committee comprises all department heads and CEOs of Australian, state, territory, and New Zealand government agencies responsible for primary industries policy issues.</w:t>
            </w:r>
          </w:p>
        </w:tc>
      </w:tr>
      <w:tr w:rsidR="00744D64" w14:paraId="1BA83B66" w14:textId="77777777" w:rsidTr="00FE64BC">
        <w:tc>
          <w:tcPr>
            <w:tcW w:w="1250" w:type="pct"/>
            <w:tcMar>
              <w:left w:w="108" w:type="dxa"/>
              <w:right w:w="108" w:type="dxa"/>
            </w:tcMar>
          </w:tcPr>
          <w:p w14:paraId="30342289" w14:textId="4313BB69" w:rsidR="00744D64" w:rsidRPr="00FE64BC" w:rsidRDefault="00744D64" w:rsidP="00744D64">
            <w:pPr>
              <w:pStyle w:val="TableText"/>
            </w:pPr>
            <w:r w:rsidRPr="00842C8F">
              <w:t>AMM</w:t>
            </w:r>
          </w:p>
        </w:tc>
        <w:tc>
          <w:tcPr>
            <w:tcW w:w="3750" w:type="pct"/>
            <w:tcMar>
              <w:left w:w="108" w:type="dxa"/>
              <w:right w:w="108" w:type="dxa"/>
            </w:tcMar>
          </w:tcPr>
          <w:p w14:paraId="5B1DA74E" w14:textId="72063750" w:rsidR="00744D64" w:rsidRPr="00FE64BC" w:rsidRDefault="00744D64" w:rsidP="00744D64">
            <w:pPr>
              <w:pStyle w:val="TableText"/>
            </w:pPr>
            <w:r w:rsidRPr="00842C8F">
              <w:t>The Agriculture Ministers’ Meeting comprises Australian, state and territory government ministers with responsibility for national issues relating to the agricultural sector, including matters of biosecurity.</w:t>
            </w:r>
          </w:p>
        </w:tc>
      </w:tr>
      <w:tr w:rsidR="00744D64" w14:paraId="4BD66E4F" w14:textId="77777777" w:rsidTr="00FE64BC">
        <w:tc>
          <w:tcPr>
            <w:tcW w:w="1250" w:type="pct"/>
            <w:tcMar>
              <w:left w:w="108" w:type="dxa"/>
              <w:right w:w="108" w:type="dxa"/>
            </w:tcMar>
          </w:tcPr>
          <w:p w14:paraId="1FFB664A" w14:textId="4D778E6C" w:rsidR="00744D64" w:rsidRPr="00FE64BC" w:rsidRDefault="00744D64" w:rsidP="00744D64">
            <w:pPr>
              <w:pStyle w:val="TableText"/>
            </w:pPr>
            <w:r w:rsidRPr="00842C8F">
              <w:t>biosecurity stakeholders</w:t>
            </w:r>
          </w:p>
        </w:tc>
        <w:tc>
          <w:tcPr>
            <w:tcW w:w="3750" w:type="pct"/>
            <w:tcMar>
              <w:left w:w="108" w:type="dxa"/>
              <w:right w:w="108" w:type="dxa"/>
            </w:tcMar>
          </w:tcPr>
          <w:p w14:paraId="0A8FDB22" w14:textId="4A95855F" w:rsidR="00744D64" w:rsidRPr="00FE64BC" w:rsidRDefault="00744D64" w:rsidP="00744D64">
            <w:pPr>
              <w:pStyle w:val="TableText"/>
            </w:pPr>
            <w:r w:rsidRPr="00842C8F">
              <w:t>Australian, state and territory governments, industry, First Nations people, landowners and managers, environmental groups, research organisations and the community</w:t>
            </w:r>
          </w:p>
        </w:tc>
      </w:tr>
      <w:tr w:rsidR="00744D64" w14:paraId="6E901688" w14:textId="77777777" w:rsidTr="00FE64BC">
        <w:tc>
          <w:tcPr>
            <w:tcW w:w="1250" w:type="pct"/>
            <w:tcMar>
              <w:left w:w="108" w:type="dxa"/>
              <w:right w:w="108" w:type="dxa"/>
            </w:tcMar>
          </w:tcPr>
          <w:p w14:paraId="7C52A70F" w14:textId="25674968" w:rsidR="00744D64" w:rsidRPr="00FE64BC" w:rsidRDefault="00744D64" w:rsidP="00744D64">
            <w:pPr>
              <w:pStyle w:val="TableText"/>
            </w:pPr>
            <w:r w:rsidRPr="00842C8F">
              <w:t>Commonwealth</w:t>
            </w:r>
          </w:p>
        </w:tc>
        <w:tc>
          <w:tcPr>
            <w:tcW w:w="3750" w:type="pct"/>
            <w:tcMar>
              <w:left w:w="108" w:type="dxa"/>
              <w:right w:w="108" w:type="dxa"/>
            </w:tcMar>
          </w:tcPr>
          <w:p w14:paraId="09DFECE7" w14:textId="3EF6B737" w:rsidR="00744D64" w:rsidRPr="00FE64BC" w:rsidRDefault="00744D64" w:rsidP="00744D64">
            <w:pPr>
              <w:pStyle w:val="TableText"/>
            </w:pPr>
            <w:r w:rsidRPr="00842C8F">
              <w:t>The Commonwealth of Australia refers to the legal entity established by the Commonwealth of Australia Constitution Act or institutions (such as parliament) established by the Act.</w:t>
            </w:r>
          </w:p>
        </w:tc>
      </w:tr>
      <w:tr w:rsidR="0025604A" w14:paraId="63D428D1" w14:textId="77777777" w:rsidTr="00FE64BC">
        <w:tc>
          <w:tcPr>
            <w:tcW w:w="1250" w:type="pct"/>
            <w:tcMar>
              <w:left w:w="108" w:type="dxa"/>
              <w:right w:w="108" w:type="dxa"/>
            </w:tcMar>
          </w:tcPr>
          <w:p w14:paraId="23D27C9D" w14:textId="0F5C3B62" w:rsidR="0025604A" w:rsidRPr="00842C8F" w:rsidRDefault="00BA307D" w:rsidP="00744D64">
            <w:pPr>
              <w:pStyle w:val="TableText"/>
            </w:pPr>
            <w:r>
              <w:t>FPIC</w:t>
            </w:r>
          </w:p>
        </w:tc>
        <w:tc>
          <w:tcPr>
            <w:tcW w:w="3750" w:type="pct"/>
            <w:tcMar>
              <w:left w:w="108" w:type="dxa"/>
              <w:right w:w="108" w:type="dxa"/>
            </w:tcMar>
          </w:tcPr>
          <w:p w14:paraId="5D0354AC" w14:textId="54B554E2" w:rsidR="0025604A" w:rsidRPr="00842C8F" w:rsidRDefault="00D45DB6" w:rsidP="00744D64">
            <w:pPr>
              <w:pStyle w:val="TableText"/>
            </w:pPr>
            <w:r w:rsidRPr="00D45DB6">
              <w:t>Free, Prior, and Informed Consent is a specific right that pertains to Indigenous peoples and is recognized in international human rights law. FPIC means that Indigenous peoples have the right to give or withhold consent to a project or activity that may affect them or their lands, territories, and resources. This consent must be obtained freely (without coercion), prior to the commencement of the activity, and with full disclosure of information regarding the project’s potential impacts.</w:t>
            </w:r>
          </w:p>
        </w:tc>
      </w:tr>
      <w:tr w:rsidR="00FC0F12" w14:paraId="02653C93" w14:textId="77777777" w:rsidTr="00FE64BC">
        <w:tc>
          <w:tcPr>
            <w:tcW w:w="1250" w:type="pct"/>
            <w:tcMar>
              <w:left w:w="108" w:type="dxa"/>
              <w:right w:w="108" w:type="dxa"/>
            </w:tcMar>
          </w:tcPr>
          <w:p w14:paraId="64FD8209" w14:textId="0CE2D0B9" w:rsidR="00FC0F12" w:rsidRPr="00842C8F" w:rsidRDefault="00BA307D" w:rsidP="00744D64">
            <w:pPr>
              <w:pStyle w:val="TableText"/>
            </w:pPr>
            <w:r>
              <w:t>ICIP</w:t>
            </w:r>
          </w:p>
        </w:tc>
        <w:tc>
          <w:tcPr>
            <w:tcW w:w="3750" w:type="pct"/>
            <w:tcMar>
              <w:left w:w="108" w:type="dxa"/>
              <w:right w:w="108" w:type="dxa"/>
            </w:tcMar>
          </w:tcPr>
          <w:p w14:paraId="6C729258" w14:textId="743116BA" w:rsidR="00FC0F12" w:rsidRPr="00842C8F" w:rsidRDefault="00BA307D" w:rsidP="00744D64">
            <w:pPr>
              <w:pStyle w:val="TableText"/>
            </w:pPr>
            <w:r w:rsidRPr="00BA307D">
              <w:t>Indigenous Cultural and Intellectual Property refers to the rights that Indigenous peoples have to their cultural heritage. This includes tangible and intangible aspects such as cultural practices, traditional knowledge, ancestral remains, cultural expressions, and genetic resources. ICIP encompasses both the individual and collective rights of Indigenous peoples to maintain, control, protect, and develop their cultural heritage and knowledge systems, in accordance with their laws, traditions, and customs.</w:t>
            </w:r>
          </w:p>
        </w:tc>
      </w:tr>
      <w:tr w:rsidR="00744D64" w14:paraId="62119F4F" w14:textId="77777777" w:rsidTr="00FE64BC">
        <w:tc>
          <w:tcPr>
            <w:tcW w:w="1250" w:type="pct"/>
            <w:tcMar>
              <w:left w:w="108" w:type="dxa"/>
              <w:right w:w="108" w:type="dxa"/>
            </w:tcMar>
          </w:tcPr>
          <w:p w14:paraId="28BD5D96" w14:textId="312752ED" w:rsidR="00744D64" w:rsidRPr="00FE64BC" w:rsidRDefault="00744D64" w:rsidP="00744D64">
            <w:pPr>
              <w:pStyle w:val="TableText"/>
            </w:pPr>
            <w:r w:rsidRPr="00842C8F">
              <w:t>initial actions</w:t>
            </w:r>
          </w:p>
        </w:tc>
        <w:tc>
          <w:tcPr>
            <w:tcW w:w="3750" w:type="pct"/>
            <w:tcMar>
              <w:left w:w="108" w:type="dxa"/>
              <w:right w:w="108" w:type="dxa"/>
            </w:tcMar>
          </w:tcPr>
          <w:p w14:paraId="03BC18D7" w14:textId="77B7AB52" w:rsidR="00744D64" w:rsidRPr="00FE64BC" w:rsidRDefault="00744D64" w:rsidP="00744D64">
            <w:pPr>
              <w:pStyle w:val="TableText"/>
            </w:pPr>
            <w:r w:rsidRPr="00842C8F">
              <w:t>36 initial actions were developed across the 6 priority areas as part of the NBS in consultation with stakeholders.</w:t>
            </w:r>
          </w:p>
        </w:tc>
      </w:tr>
      <w:tr w:rsidR="00744D64" w14:paraId="1C22F9F5" w14:textId="77777777" w:rsidTr="00FE64BC">
        <w:tc>
          <w:tcPr>
            <w:tcW w:w="1250" w:type="pct"/>
            <w:tcMar>
              <w:left w:w="108" w:type="dxa"/>
              <w:right w:w="108" w:type="dxa"/>
            </w:tcMar>
          </w:tcPr>
          <w:p w14:paraId="5919842C" w14:textId="611730BE" w:rsidR="00744D64" w:rsidRPr="00FE64BC" w:rsidRDefault="00744D64" w:rsidP="00744D64">
            <w:pPr>
              <w:pStyle w:val="TableText"/>
            </w:pPr>
            <w:r w:rsidRPr="00842C8F">
              <w:t>NBC</w:t>
            </w:r>
          </w:p>
        </w:tc>
        <w:tc>
          <w:tcPr>
            <w:tcW w:w="3750" w:type="pct"/>
            <w:tcMar>
              <w:left w:w="108" w:type="dxa"/>
              <w:right w:w="108" w:type="dxa"/>
            </w:tcMar>
          </w:tcPr>
          <w:p w14:paraId="42F06A18" w14:textId="4959D7E8" w:rsidR="00744D64" w:rsidRPr="00FE64BC" w:rsidRDefault="00744D64" w:rsidP="00744D64">
            <w:pPr>
              <w:pStyle w:val="TableText"/>
            </w:pPr>
            <w:r w:rsidRPr="00842C8F">
              <w:t>Formally established under the Intergovernmental Agreement on Biosecurity (IGAB), the National Biosecurity Committee provides advice to the AGSOC on national biosecurity, and on progress in implementing the Intergovernmental Agreement on Biosecurity.</w:t>
            </w:r>
          </w:p>
        </w:tc>
      </w:tr>
      <w:tr w:rsidR="00744D64" w14:paraId="653F48FE" w14:textId="77777777" w:rsidTr="00FE64BC">
        <w:tc>
          <w:tcPr>
            <w:tcW w:w="1250" w:type="pct"/>
            <w:tcMar>
              <w:left w:w="108" w:type="dxa"/>
              <w:right w:w="108" w:type="dxa"/>
            </w:tcMar>
          </w:tcPr>
          <w:p w14:paraId="04DBDA50" w14:textId="637AF063" w:rsidR="00744D64" w:rsidRPr="00FE64BC" w:rsidRDefault="00744D64" w:rsidP="00744D64">
            <w:pPr>
              <w:pStyle w:val="TableText"/>
            </w:pPr>
            <w:r w:rsidRPr="00842C8F">
              <w:t>NBS</w:t>
            </w:r>
          </w:p>
        </w:tc>
        <w:tc>
          <w:tcPr>
            <w:tcW w:w="3750" w:type="pct"/>
            <w:tcMar>
              <w:left w:w="108" w:type="dxa"/>
              <w:right w:w="108" w:type="dxa"/>
            </w:tcMar>
          </w:tcPr>
          <w:p w14:paraId="0152EC48" w14:textId="7F88CC64" w:rsidR="00744D64" w:rsidRPr="00FE64BC" w:rsidRDefault="00744D64" w:rsidP="00744D64">
            <w:pPr>
              <w:pStyle w:val="TableText"/>
            </w:pPr>
            <w:r w:rsidRPr="00842C8F">
              <w:t>The National Biosecurity Strategy provides a collective vision for Australia’s future biosecurity system - a biosecurity system that protects Australia’s way of life.</w:t>
            </w:r>
          </w:p>
        </w:tc>
      </w:tr>
      <w:tr w:rsidR="00744D64" w14:paraId="73C9F18B" w14:textId="77777777" w:rsidTr="00FE64BC">
        <w:tc>
          <w:tcPr>
            <w:tcW w:w="1250" w:type="pct"/>
            <w:tcMar>
              <w:left w:w="108" w:type="dxa"/>
              <w:right w:w="108" w:type="dxa"/>
            </w:tcMar>
          </w:tcPr>
          <w:p w14:paraId="47E01303" w14:textId="7130A5B8" w:rsidR="00744D64" w:rsidRPr="00FE64BC" w:rsidRDefault="00744D64" w:rsidP="00744D64">
            <w:pPr>
              <w:pStyle w:val="TableText"/>
            </w:pPr>
            <w:r w:rsidRPr="00842C8F">
              <w:t>NIC</w:t>
            </w:r>
          </w:p>
        </w:tc>
        <w:tc>
          <w:tcPr>
            <w:tcW w:w="3750" w:type="pct"/>
            <w:tcMar>
              <w:left w:w="108" w:type="dxa"/>
              <w:right w:w="108" w:type="dxa"/>
            </w:tcMar>
          </w:tcPr>
          <w:p w14:paraId="7A463E1E" w14:textId="60A988A9" w:rsidR="00744D64" w:rsidRPr="00FE64BC" w:rsidRDefault="00744D64" w:rsidP="00744D64">
            <w:pPr>
              <w:pStyle w:val="TableText"/>
            </w:pPr>
            <w:r w:rsidRPr="00842C8F">
              <w:t>The National Biosecurity Strategy Implementation Committee was established to support the delivery of the NBS.</w:t>
            </w:r>
          </w:p>
        </w:tc>
      </w:tr>
      <w:tr w:rsidR="00A80D78" w14:paraId="4D1F1B65" w14:textId="77777777" w:rsidTr="00FE64BC">
        <w:tc>
          <w:tcPr>
            <w:tcW w:w="1250" w:type="pct"/>
            <w:tcMar>
              <w:left w:w="108" w:type="dxa"/>
              <w:right w:w="108" w:type="dxa"/>
            </w:tcMar>
          </w:tcPr>
          <w:p w14:paraId="2D682446" w14:textId="1FAB6BE3" w:rsidR="00A80D78" w:rsidRPr="00842C8F" w:rsidRDefault="00A80D78" w:rsidP="00744D64">
            <w:pPr>
              <w:pStyle w:val="TableText"/>
            </w:pPr>
            <w:r>
              <w:t>traceability</w:t>
            </w:r>
          </w:p>
        </w:tc>
        <w:tc>
          <w:tcPr>
            <w:tcW w:w="3750" w:type="pct"/>
            <w:tcMar>
              <w:left w:w="108" w:type="dxa"/>
              <w:right w:w="108" w:type="dxa"/>
            </w:tcMar>
          </w:tcPr>
          <w:p w14:paraId="0F445FE2" w14:textId="48EC0AED" w:rsidR="00A80D78" w:rsidRPr="00842C8F" w:rsidRDefault="007B754C" w:rsidP="00744D64">
            <w:pPr>
              <w:pStyle w:val="TableText"/>
            </w:pPr>
            <w:r w:rsidRPr="007B754C">
              <w:t>The ability to follow the movement of a product through stages of production, processing, and distribution (ISO 22005:2007). In agriculture, traceability typically refers to the tools, systems and processes that enable tracing of agricultural production, food-producing animals and products, back and forth along entire supply chains.</w:t>
            </w:r>
          </w:p>
        </w:tc>
      </w:tr>
      <w:tr w:rsidR="00744D64" w14:paraId="594B93D6" w14:textId="77777777" w:rsidTr="00FE64BC">
        <w:tc>
          <w:tcPr>
            <w:tcW w:w="1250" w:type="pct"/>
            <w:tcMar>
              <w:left w:w="108" w:type="dxa"/>
              <w:right w:w="108" w:type="dxa"/>
            </w:tcMar>
          </w:tcPr>
          <w:p w14:paraId="25444A06" w14:textId="2DAF3C39" w:rsidR="00744D64" w:rsidRPr="00FE64BC" w:rsidRDefault="00744D64" w:rsidP="00744D64">
            <w:pPr>
              <w:pStyle w:val="TableText"/>
            </w:pPr>
            <w:r w:rsidRPr="00842C8F">
              <w:t>Working Group</w:t>
            </w:r>
          </w:p>
        </w:tc>
        <w:tc>
          <w:tcPr>
            <w:tcW w:w="3750" w:type="pct"/>
            <w:tcMar>
              <w:left w:w="108" w:type="dxa"/>
              <w:right w:w="108" w:type="dxa"/>
            </w:tcMar>
          </w:tcPr>
          <w:p w14:paraId="47D88AA4" w14:textId="0E57F0DC" w:rsidR="00744D64" w:rsidRPr="00FE64BC" w:rsidRDefault="00744D64" w:rsidP="00744D64">
            <w:pPr>
              <w:pStyle w:val="TableText"/>
            </w:pPr>
            <w:r w:rsidRPr="00842C8F">
              <w:t>The National Biosecurity Strategy (NBS) Implementation Working Group (Working Group) was established by the NBS Implementation Committee to support the planning stage of NBS implementation</w:t>
            </w:r>
            <w:r w:rsidR="00B03395">
              <w:t>,</w:t>
            </w:r>
            <w:r w:rsidRPr="00842C8F">
              <w:t xml:space="preserve"> which include</w:t>
            </w:r>
            <w:r w:rsidR="00360CA6">
              <w:t>d</w:t>
            </w:r>
            <w:r w:rsidRPr="00842C8F">
              <w:t xml:space="preserve"> the development of a</w:t>
            </w:r>
            <w:r w:rsidR="00B03395">
              <w:t>n</w:t>
            </w:r>
            <w:r w:rsidRPr="00842C8F">
              <w:t xml:space="preserve"> </w:t>
            </w:r>
            <w:r w:rsidR="00360CA6">
              <w:t xml:space="preserve">implementation plan </w:t>
            </w:r>
            <w:r w:rsidR="00B03395" w:rsidRPr="00842C8F">
              <w:t>and a</w:t>
            </w:r>
            <w:r w:rsidR="00360CA6">
              <w:t>n</w:t>
            </w:r>
            <w:r w:rsidR="00B03395" w:rsidRPr="00842C8F">
              <w:t xml:space="preserve"> action plan</w:t>
            </w:r>
            <w:r w:rsidRPr="00842C8F">
              <w:t>.</w:t>
            </w:r>
          </w:p>
        </w:tc>
      </w:tr>
    </w:tbl>
    <w:p w14:paraId="1FAA14D4" w14:textId="77777777" w:rsidR="005A7193" w:rsidRDefault="005A7193" w:rsidP="005A7193">
      <w:pPr>
        <w:rPr>
          <w:lang w:eastAsia="ja-JP"/>
        </w:rPr>
      </w:pPr>
    </w:p>
    <w:sectPr w:rsidR="005A7193" w:rsidSect="00DC2B49">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61DBB" w14:textId="77777777" w:rsidR="00FD516B" w:rsidRDefault="00FD516B">
      <w:r>
        <w:separator/>
      </w:r>
    </w:p>
    <w:p w14:paraId="7CDF52BE" w14:textId="77777777" w:rsidR="00FD516B" w:rsidRDefault="00FD516B"/>
    <w:p w14:paraId="1E762BA0" w14:textId="77777777" w:rsidR="00FD516B" w:rsidRDefault="00FD516B"/>
  </w:endnote>
  <w:endnote w:type="continuationSeparator" w:id="0">
    <w:p w14:paraId="2BAD87F0" w14:textId="77777777" w:rsidR="00FD516B" w:rsidRDefault="00FD516B">
      <w:r>
        <w:continuationSeparator/>
      </w:r>
    </w:p>
    <w:p w14:paraId="3B44DF06" w14:textId="77777777" w:rsidR="00FD516B" w:rsidRDefault="00FD516B"/>
    <w:p w14:paraId="5C2CC50A" w14:textId="77777777" w:rsidR="00FD516B" w:rsidRDefault="00FD516B"/>
  </w:endnote>
  <w:endnote w:type="continuationNotice" w:id="1">
    <w:p w14:paraId="7C1C87D8" w14:textId="77777777" w:rsidR="00FD516B" w:rsidRDefault="00FD516B">
      <w:pPr>
        <w:pStyle w:val="Footer"/>
      </w:pPr>
    </w:p>
    <w:p w14:paraId="6D94682C" w14:textId="77777777" w:rsidR="00FD516B" w:rsidRDefault="00FD516B"/>
    <w:p w14:paraId="716D3FD1" w14:textId="77777777" w:rsidR="00FD516B" w:rsidRDefault="00FD5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771F3" w14:textId="77777777" w:rsidR="00CA6C9D" w:rsidRDefault="00CA6C9D">
    <w:pPr>
      <w:pStyle w:val="Footer"/>
    </w:pPr>
    <w:r>
      <w:rPr>
        <w:noProof/>
      </w:rPr>
      <mc:AlternateContent>
        <mc:Choice Requires="wps">
          <w:drawing>
            <wp:anchor distT="0" distB="0" distL="0" distR="0" simplePos="0" relativeHeight="251658241" behindDoc="0" locked="0" layoutInCell="1" allowOverlap="1" wp14:anchorId="15500075" wp14:editId="392E44AC">
              <wp:simplePos x="635" y="635"/>
              <wp:positionH relativeFrom="page">
                <wp:align>center</wp:align>
              </wp:positionH>
              <wp:positionV relativeFrom="page">
                <wp:align>bottom</wp:align>
              </wp:positionV>
              <wp:extent cx="443865" cy="443865"/>
              <wp:effectExtent l="0" t="0" r="635" b="0"/>
              <wp:wrapNone/>
              <wp:docPr id="17791794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E0E5D3"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500075"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4E0E5D3"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36BC" w14:textId="77777777" w:rsidR="00B861B4" w:rsidRDefault="00DE0AAE">
    <w:pPr>
      <w:pStyle w:val="Footer"/>
    </w:pPr>
    <w:r w:rsidRPr="00DE0AAE">
      <w:t>Department of Agriculture, Fisheries and Forestry</w:t>
    </w:r>
  </w:p>
  <w:p w14:paraId="68198FC1"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BB52E" w14:textId="77777777" w:rsidR="00FD516B" w:rsidRDefault="00FD516B">
      <w:r>
        <w:separator/>
      </w:r>
    </w:p>
    <w:p w14:paraId="5C52829F" w14:textId="77777777" w:rsidR="00FD516B" w:rsidRDefault="00FD516B"/>
    <w:p w14:paraId="6469F097" w14:textId="77777777" w:rsidR="00FD516B" w:rsidRDefault="00FD516B"/>
  </w:footnote>
  <w:footnote w:type="continuationSeparator" w:id="0">
    <w:p w14:paraId="5BDFB9AB" w14:textId="77777777" w:rsidR="00FD516B" w:rsidRDefault="00FD516B">
      <w:r>
        <w:continuationSeparator/>
      </w:r>
    </w:p>
    <w:p w14:paraId="30E2A9F1" w14:textId="77777777" w:rsidR="00FD516B" w:rsidRDefault="00FD516B"/>
    <w:p w14:paraId="029E4DB5" w14:textId="77777777" w:rsidR="00FD516B" w:rsidRDefault="00FD516B"/>
  </w:footnote>
  <w:footnote w:type="continuationNotice" w:id="1">
    <w:p w14:paraId="4313D8D2" w14:textId="77777777" w:rsidR="00FD516B" w:rsidRDefault="00FD516B">
      <w:pPr>
        <w:pStyle w:val="Footer"/>
      </w:pPr>
    </w:p>
    <w:p w14:paraId="6B71D8D0" w14:textId="77777777" w:rsidR="00FD516B" w:rsidRDefault="00FD516B"/>
    <w:p w14:paraId="09978C51" w14:textId="77777777" w:rsidR="00FD516B" w:rsidRDefault="00FD51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ED4FE" w14:textId="35027C00" w:rsidR="00B861B4" w:rsidRDefault="00CA6C9D">
    <w:pPr>
      <w:pStyle w:val="Header"/>
    </w:pPr>
    <w:r>
      <w:rPr>
        <w:noProof/>
        <w:lang w:val="en-US"/>
      </w:rPr>
      <mc:AlternateContent>
        <mc:Choice Requires="wps">
          <w:drawing>
            <wp:anchor distT="0" distB="0" distL="0" distR="0" simplePos="0" relativeHeight="251658240" behindDoc="0" locked="0" layoutInCell="1" allowOverlap="1" wp14:anchorId="17C586DC" wp14:editId="0FD355A8">
              <wp:simplePos x="635" y="635"/>
              <wp:positionH relativeFrom="page">
                <wp:align>center</wp:align>
              </wp:positionH>
              <wp:positionV relativeFrom="page">
                <wp:align>top</wp:align>
              </wp:positionV>
              <wp:extent cx="443865" cy="443865"/>
              <wp:effectExtent l="0" t="0" r="635" b="14605"/>
              <wp:wrapNone/>
              <wp:docPr id="9872337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F6DA6B"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C586DC"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EF6DA6B"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E326D" w14:textId="7F16ADD0" w:rsidR="00B861B4" w:rsidRPr="001E6B6C" w:rsidRDefault="001E6B6C" w:rsidP="001E6B6C">
    <w:pPr>
      <w:pStyle w:val="Header"/>
    </w:pPr>
    <w:r w:rsidRPr="001E6B6C">
      <w:rPr>
        <w:noProof/>
        <w:lang w:val="en-US"/>
      </w:rPr>
      <w:t>National Biosecurity Strategy Action Plan 2024: Connected, Resilient, Shared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0C117" w14:textId="43086B20" w:rsidR="00B861B4" w:rsidRDefault="00B861B4" w:rsidP="00317BF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5381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7"/>
  </w:num>
  <w:num w:numId="2" w16cid:durableId="1639215797">
    <w:abstractNumId w:val="8"/>
  </w:num>
  <w:num w:numId="3" w16cid:durableId="1643265712">
    <w:abstractNumId w:val="2"/>
  </w:num>
  <w:num w:numId="4" w16cid:durableId="156895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5"/>
  </w:num>
  <w:num w:numId="6" w16cid:durableId="281765065">
    <w:abstractNumId w:val="6"/>
  </w:num>
  <w:num w:numId="7" w16cid:durableId="2092000146">
    <w:abstractNumId w:val="4"/>
  </w:num>
  <w:num w:numId="8" w16cid:durableId="864908900">
    <w:abstractNumId w:val="2"/>
    <w:lvlOverride w:ilvl="0">
      <w:lvl w:ilvl="0">
        <w:start w:val="1"/>
        <w:numFmt w:val="decimal"/>
        <w:pStyle w:val="Heading2"/>
        <w:lvlText w:val="%1"/>
        <w:lvlJc w:val="left"/>
        <w:pPr>
          <w:ind w:left="720" w:hanging="720"/>
        </w:pPr>
        <w:rPr>
          <w:color w:val="auto"/>
        </w:rPr>
      </w:lvl>
    </w:lvlOverride>
  </w:num>
  <w:num w:numId="9" w16cid:durableId="1469322956">
    <w:abstractNumId w:val="7"/>
  </w:num>
  <w:num w:numId="10" w16cid:durableId="1341661948">
    <w:abstractNumId w:val="8"/>
  </w:num>
  <w:num w:numId="11" w16cid:durableId="1983389004">
    <w:abstractNumId w:val="1"/>
  </w:num>
  <w:num w:numId="12" w16cid:durableId="435951209">
    <w:abstractNumId w:val="9"/>
  </w:num>
  <w:num w:numId="13" w16cid:durableId="1385720017">
    <w:abstractNumId w:val="10"/>
  </w:num>
  <w:num w:numId="14" w16cid:durableId="153029809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FF"/>
    <w:rsid w:val="00001904"/>
    <w:rsid w:val="00002502"/>
    <w:rsid w:val="000032AD"/>
    <w:rsid w:val="00006D71"/>
    <w:rsid w:val="0002799A"/>
    <w:rsid w:val="00033E60"/>
    <w:rsid w:val="00040A3D"/>
    <w:rsid w:val="00043D85"/>
    <w:rsid w:val="000542FF"/>
    <w:rsid w:val="0006368E"/>
    <w:rsid w:val="00071026"/>
    <w:rsid w:val="00074270"/>
    <w:rsid w:val="00082D17"/>
    <w:rsid w:val="0008388F"/>
    <w:rsid w:val="00084E08"/>
    <w:rsid w:val="0008585C"/>
    <w:rsid w:val="000869AB"/>
    <w:rsid w:val="00091B79"/>
    <w:rsid w:val="000942EE"/>
    <w:rsid w:val="000964C1"/>
    <w:rsid w:val="000969B1"/>
    <w:rsid w:val="00097FA8"/>
    <w:rsid w:val="000A1447"/>
    <w:rsid w:val="000A4134"/>
    <w:rsid w:val="000A7AAF"/>
    <w:rsid w:val="000B3D17"/>
    <w:rsid w:val="000B5FA0"/>
    <w:rsid w:val="000C5B13"/>
    <w:rsid w:val="000E0018"/>
    <w:rsid w:val="000E4F5B"/>
    <w:rsid w:val="000F0EAE"/>
    <w:rsid w:val="000F1942"/>
    <w:rsid w:val="000F4C7D"/>
    <w:rsid w:val="001013AD"/>
    <w:rsid w:val="0010406B"/>
    <w:rsid w:val="00111499"/>
    <w:rsid w:val="001116C3"/>
    <w:rsid w:val="00111B09"/>
    <w:rsid w:val="00113401"/>
    <w:rsid w:val="00113ED4"/>
    <w:rsid w:val="00113FCE"/>
    <w:rsid w:val="0011454A"/>
    <w:rsid w:val="00114778"/>
    <w:rsid w:val="00114804"/>
    <w:rsid w:val="00114FCE"/>
    <w:rsid w:val="00120980"/>
    <w:rsid w:val="001216B8"/>
    <w:rsid w:val="0012290A"/>
    <w:rsid w:val="001230CE"/>
    <w:rsid w:val="00126B3C"/>
    <w:rsid w:val="00145030"/>
    <w:rsid w:val="001464C8"/>
    <w:rsid w:val="00147F48"/>
    <w:rsid w:val="00151C87"/>
    <w:rsid w:val="00160B79"/>
    <w:rsid w:val="0016201B"/>
    <w:rsid w:val="001641A3"/>
    <w:rsid w:val="001672CC"/>
    <w:rsid w:val="001728AE"/>
    <w:rsid w:val="00173F3A"/>
    <w:rsid w:val="00176594"/>
    <w:rsid w:val="0017699C"/>
    <w:rsid w:val="00181DE2"/>
    <w:rsid w:val="00184110"/>
    <w:rsid w:val="00186A70"/>
    <w:rsid w:val="00190A4E"/>
    <w:rsid w:val="001919EA"/>
    <w:rsid w:val="001A1189"/>
    <w:rsid w:val="001A3CEF"/>
    <w:rsid w:val="001B0AF1"/>
    <w:rsid w:val="001B0BBA"/>
    <w:rsid w:val="001B40CB"/>
    <w:rsid w:val="001B440F"/>
    <w:rsid w:val="001B62D1"/>
    <w:rsid w:val="001C1865"/>
    <w:rsid w:val="001C4300"/>
    <w:rsid w:val="001C6141"/>
    <w:rsid w:val="001C6B68"/>
    <w:rsid w:val="001C782B"/>
    <w:rsid w:val="001E6B6C"/>
    <w:rsid w:val="001F0D51"/>
    <w:rsid w:val="001F1894"/>
    <w:rsid w:val="001F4B6C"/>
    <w:rsid w:val="00200A90"/>
    <w:rsid w:val="0020382E"/>
    <w:rsid w:val="002044BF"/>
    <w:rsid w:val="00212386"/>
    <w:rsid w:val="00213B91"/>
    <w:rsid w:val="00214216"/>
    <w:rsid w:val="00214801"/>
    <w:rsid w:val="00215CF0"/>
    <w:rsid w:val="0021649B"/>
    <w:rsid w:val="002166CD"/>
    <w:rsid w:val="0022112F"/>
    <w:rsid w:val="00222137"/>
    <w:rsid w:val="00224355"/>
    <w:rsid w:val="00232F52"/>
    <w:rsid w:val="002369E6"/>
    <w:rsid w:val="00240B9F"/>
    <w:rsid w:val="00250DC6"/>
    <w:rsid w:val="00251972"/>
    <w:rsid w:val="0025502A"/>
    <w:rsid w:val="0025604A"/>
    <w:rsid w:val="0026385E"/>
    <w:rsid w:val="00263CB6"/>
    <w:rsid w:val="00263E47"/>
    <w:rsid w:val="00266B5E"/>
    <w:rsid w:val="00266C5A"/>
    <w:rsid w:val="00267F19"/>
    <w:rsid w:val="002733F0"/>
    <w:rsid w:val="0027365B"/>
    <w:rsid w:val="00274FFC"/>
    <w:rsid w:val="00281BB6"/>
    <w:rsid w:val="00281BBB"/>
    <w:rsid w:val="00284C5A"/>
    <w:rsid w:val="00284D14"/>
    <w:rsid w:val="00286307"/>
    <w:rsid w:val="00287D7D"/>
    <w:rsid w:val="00292118"/>
    <w:rsid w:val="00292E49"/>
    <w:rsid w:val="00293C9D"/>
    <w:rsid w:val="00294902"/>
    <w:rsid w:val="0029698A"/>
    <w:rsid w:val="00296EF0"/>
    <w:rsid w:val="002A710A"/>
    <w:rsid w:val="002B1230"/>
    <w:rsid w:val="002B138E"/>
    <w:rsid w:val="002B724F"/>
    <w:rsid w:val="002B75BB"/>
    <w:rsid w:val="002C2C01"/>
    <w:rsid w:val="002C3242"/>
    <w:rsid w:val="002C60B8"/>
    <w:rsid w:val="002D2668"/>
    <w:rsid w:val="002D427D"/>
    <w:rsid w:val="002D499E"/>
    <w:rsid w:val="002D5510"/>
    <w:rsid w:val="002D5B0A"/>
    <w:rsid w:val="002D5FBC"/>
    <w:rsid w:val="002D67C2"/>
    <w:rsid w:val="002E0CB5"/>
    <w:rsid w:val="002E0CC6"/>
    <w:rsid w:val="002E4995"/>
    <w:rsid w:val="002E6A49"/>
    <w:rsid w:val="002E6EBF"/>
    <w:rsid w:val="002E7270"/>
    <w:rsid w:val="002F1457"/>
    <w:rsid w:val="002F3FA6"/>
    <w:rsid w:val="002F4EB0"/>
    <w:rsid w:val="003002A7"/>
    <w:rsid w:val="003024BD"/>
    <w:rsid w:val="00303BA6"/>
    <w:rsid w:val="00304AB4"/>
    <w:rsid w:val="003061B0"/>
    <w:rsid w:val="00310CE1"/>
    <w:rsid w:val="0031247D"/>
    <w:rsid w:val="003177E0"/>
    <w:rsid w:val="00317BF3"/>
    <w:rsid w:val="003214B3"/>
    <w:rsid w:val="0032390E"/>
    <w:rsid w:val="00323941"/>
    <w:rsid w:val="00323AF6"/>
    <w:rsid w:val="00324BD0"/>
    <w:rsid w:val="0032551C"/>
    <w:rsid w:val="003273FD"/>
    <w:rsid w:val="00331459"/>
    <w:rsid w:val="0033375E"/>
    <w:rsid w:val="00341111"/>
    <w:rsid w:val="003425AF"/>
    <w:rsid w:val="003449B2"/>
    <w:rsid w:val="00350D80"/>
    <w:rsid w:val="003537AD"/>
    <w:rsid w:val="00354C6A"/>
    <w:rsid w:val="00360039"/>
    <w:rsid w:val="003600AE"/>
    <w:rsid w:val="00360CA6"/>
    <w:rsid w:val="00361EE1"/>
    <w:rsid w:val="00362ABD"/>
    <w:rsid w:val="00364A4A"/>
    <w:rsid w:val="003654AC"/>
    <w:rsid w:val="00367BD3"/>
    <w:rsid w:val="003703F9"/>
    <w:rsid w:val="0037073B"/>
    <w:rsid w:val="00375087"/>
    <w:rsid w:val="003834DC"/>
    <w:rsid w:val="003843E0"/>
    <w:rsid w:val="00386751"/>
    <w:rsid w:val="00392C90"/>
    <w:rsid w:val="00394EF1"/>
    <w:rsid w:val="00395407"/>
    <w:rsid w:val="003959D4"/>
    <w:rsid w:val="00397ED2"/>
    <w:rsid w:val="003A6F9D"/>
    <w:rsid w:val="003B046D"/>
    <w:rsid w:val="003B1E29"/>
    <w:rsid w:val="003B36A9"/>
    <w:rsid w:val="003C1267"/>
    <w:rsid w:val="003C1FCE"/>
    <w:rsid w:val="003C57CD"/>
    <w:rsid w:val="003E050B"/>
    <w:rsid w:val="003E516D"/>
    <w:rsid w:val="003E7659"/>
    <w:rsid w:val="003F24C1"/>
    <w:rsid w:val="003F3843"/>
    <w:rsid w:val="003F58F8"/>
    <w:rsid w:val="003F6664"/>
    <w:rsid w:val="00406223"/>
    <w:rsid w:val="00406726"/>
    <w:rsid w:val="00410B27"/>
    <w:rsid w:val="004119A5"/>
    <w:rsid w:val="00413F71"/>
    <w:rsid w:val="00415E1C"/>
    <w:rsid w:val="00427034"/>
    <w:rsid w:val="00432172"/>
    <w:rsid w:val="00436A9E"/>
    <w:rsid w:val="00437495"/>
    <w:rsid w:val="00441BFD"/>
    <w:rsid w:val="00446881"/>
    <w:rsid w:val="004501CC"/>
    <w:rsid w:val="00451B82"/>
    <w:rsid w:val="00461957"/>
    <w:rsid w:val="0046625C"/>
    <w:rsid w:val="004667A8"/>
    <w:rsid w:val="00470C21"/>
    <w:rsid w:val="004714C2"/>
    <w:rsid w:val="00471508"/>
    <w:rsid w:val="004753AF"/>
    <w:rsid w:val="00476C9E"/>
    <w:rsid w:val="00487494"/>
    <w:rsid w:val="00491E5F"/>
    <w:rsid w:val="00496D0B"/>
    <w:rsid w:val="004A1143"/>
    <w:rsid w:val="004A2776"/>
    <w:rsid w:val="004A27A9"/>
    <w:rsid w:val="004A399C"/>
    <w:rsid w:val="004A775D"/>
    <w:rsid w:val="004B0B24"/>
    <w:rsid w:val="004B1D54"/>
    <w:rsid w:val="004B37F4"/>
    <w:rsid w:val="004B3F30"/>
    <w:rsid w:val="004B51E6"/>
    <w:rsid w:val="004B5F0F"/>
    <w:rsid w:val="004B6E01"/>
    <w:rsid w:val="004C0EA8"/>
    <w:rsid w:val="004C327C"/>
    <w:rsid w:val="004C696A"/>
    <w:rsid w:val="004C7058"/>
    <w:rsid w:val="004D0949"/>
    <w:rsid w:val="004E0DE8"/>
    <w:rsid w:val="004E0E1D"/>
    <w:rsid w:val="004E0F77"/>
    <w:rsid w:val="004E21D6"/>
    <w:rsid w:val="004E316B"/>
    <w:rsid w:val="004F1CF4"/>
    <w:rsid w:val="004F3CD9"/>
    <w:rsid w:val="004F3F2A"/>
    <w:rsid w:val="004F53B2"/>
    <w:rsid w:val="004F60C5"/>
    <w:rsid w:val="00503273"/>
    <w:rsid w:val="005043EB"/>
    <w:rsid w:val="00504C54"/>
    <w:rsid w:val="00510915"/>
    <w:rsid w:val="0051148A"/>
    <w:rsid w:val="0051749D"/>
    <w:rsid w:val="0051755E"/>
    <w:rsid w:val="00517A68"/>
    <w:rsid w:val="00534169"/>
    <w:rsid w:val="005450C8"/>
    <w:rsid w:val="005459F6"/>
    <w:rsid w:val="00550BF9"/>
    <w:rsid w:val="005520F5"/>
    <w:rsid w:val="00553E73"/>
    <w:rsid w:val="00566BB9"/>
    <w:rsid w:val="005679DC"/>
    <w:rsid w:val="00570C1F"/>
    <w:rsid w:val="00574BD6"/>
    <w:rsid w:val="00576E29"/>
    <w:rsid w:val="005772BC"/>
    <w:rsid w:val="00580AFF"/>
    <w:rsid w:val="0058188D"/>
    <w:rsid w:val="00582E0F"/>
    <w:rsid w:val="00584093"/>
    <w:rsid w:val="005850F0"/>
    <w:rsid w:val="00592FC6"/>
    <w:rsid w:val="005A08B1"/>
    <w:rsid w:val="005A13F5"/>
    <w:rsid w:val="005A31BB"/>
    <w:rsid w:val="005A5D8B"/>
    <w:rsid w:val="005A7193"/>
    <w:rsid w:val="005C36F6"/>
    <w:rsid w:val="005C58D3"/>
    <w:rsid w:val="005C60E8"/>
    <w:rsid w:val="005D2557"/>
    <w:rsid w:val="005D3790"/>
    <w:rsid w:val="005E25BD"/>
    <w:rsid w:val="005E48FE"/>
    <w:rsid w:val="005E7663"/>
    <w:rsid w:val="006016D6"/>
    <w:rsid w:val="006020C2"/>
    <w:rsid w:val="00602A8F"/>
    <w:rsid w:val="00606933"/>
    <w:rsid w:val="006072E5"/>
    <w:rsid w:val="006138D1"/>
    <w:rsid w:val="00615AD8"/>
    <w:rsid w:val="00616DF6"/>
    <w:rsid w:val="00624B5C"/>
    <w:rsid w:val="0062631F"/>
    <w:rsid w:val="0062681F"/>
    <w:rsid w:val="00627F2C"/>
    <w:rsid w:val="00632111"/>
    <w:rsid w:val="006329B3"/>
    <w:rsid w:val="0063569B"/>
    <w:rsid w:val="00635C53"/>
    <w:rsid w:val="006370A1"/>
    <w:rsid w:val="006377CC"/>
    <w:rsid w:val="00642978"/>
    <w:rsid w:val="00643C78"/>
    <w:rsid w:val="006440A9"/>
    <w:rsid w:val="00647A67"/>
    <w:rsid w:val="00650E76"/>
    <w:rsid w:val="00651F64"/>
    <w:rsid w:val="006527FC"/>
    <w:rsid w:val="006555A9"/>
    <w:rsid w:val="00655BDD"/>
    <w:rsid w:val="00655E51"/>
    <w:rsid w:val="00663719"/>
    <w:rsid w:val="00671116"/>
    <w:rsid w:val="006713A7"/>
    <w:rsid w:val="006717D0"/>
    <w:rsid w:val="0067571B"/>
    <w:rsid w:val="00680970"/>
    <w:rsid w:val="006815C9"/>
    <w:rsid w:val="006834BF"/>
    <w:rsid w:val="00685A2D"/>
    <w:rsid w:val="00693482"/>
    <w:rsid w:val="006A0939"/>
    <w:rsid w:val="006A0A43"/>
    <w:rsid w:val="006B0CDC"/>
    <w:rsid w:val="006B222A"/>
    <w:rsid w:val="006B433D"/>
    <w:rsid w:val="006B4438"/>
    <w:rsid w:val="006B55DC"/>
    <w:rsid w:val="006B5E10"/>
    <w:rsid w:val="006C133C"/>
    <w:rsid w:val="006C16FF"/>
    <w:rsid w:val="006C19E4"/>
    <w:rsid w:val="006C261F"/>
    <w:rsid w:val="006C44C8"/>
    <w:rsid w:val="006C5145"/>
    <w:rsid w:val="006C658F"/>
    <w:rsid w:val="006E6712"/>
    <w:rsid w:val="006E683E"/>
    <w:rsid w:val="006F28DE"/>
    <w:rsid w:val="006F47DB"/>
    <w:rsid w:val="006F6656"/>
    <w:rsid w:val="006F68A7"/>
    <w:rsid w:val="00700AD8"/>
    <w:rsid w:val="0070228E"/>
    <w:rsid w:val="0070463C"/>
    <w:rsid w:val="00706106"/>
    <w:rsid w:val="00706A0B"/>
    <w:rsid w:val="00712B07"/>
    <w:rsid w:val="0071381A"/>
    <w:rsid w:val="007165D6"/>
    <w:rsid w:val="007169D6"/>
    <w:rsid w:val="00716B40"/>
    <w:rsid w:val="00720668"/>
    <w:rsid w:val="00720839"/>
    <w:rsid w:val="00720BB9"/>
    <w:rsid w:val="007212CE"/>
    <w:rsid w:val="00725003"/>
    <w:rsid w:val="00727736"/>
    <w:rsid w:val="0073034F"/>
    <w:rsid w:val="00734F37"/>
    <w:rsid w:val="00735E17"/>
    <w:rsid w:val="00741437"/>
    <w:rsid w:val="00744853"/>
    <w:rsid w:val="00744D64"/>
    <w:rsid w:val="0074614F"/>
    <w:rsid w:val="00750DF0"/>
    <w:rsid w:val="00754342"/>
    <w:rsid w:val="0075500C"/>
    <w:rsid w:val="00761FCF"/>
    <w:rsid w:val="00764D6A"/>
    <w:rsid w:val="00770ED3"/>
    <w:rsid w:val="00773056"/>
    <w:rsid w:val="00785369"/>
    <w:rsid w:val="007877FA"/>
    <w:rsid w:val="00794728"/>
    <w:rsid w:val="00795D7A"/>
    <w:rsid w:val="00796CE8"/>
    <w:rsid w:val="007A07D3"/>
    <w:rsid w:val="007A4714"/>
    <w:rsid w:val="007A546B"/>
    <w:rsid w:val="007A5D10"/>
    <w:rsid w:val="007B018C"/>
    <w:rsid w:val="007B55B3"/>
    <w:rsid w:val="007B66C4"/>
    <w:rsid w:val="007B6C4A"/>
    <w:rsid w:val="007B754C"/>
    <w:rsid w:val="007B7E13"/>
    <w:rsid w:val="007C358A"/>
    <w:rsid w:val="007D09E5"/>
    <w:rsid w:val="007D5885"/>
    <w:rsid w:val="007D7001"/>
    <w:rsid w:val="007E2663"/>
    <w:rsid w:val="007E2BC6"/>
    <w:rsid w:val="007E39EF"/>
    <w:rsid w:val="007E47E4"/>
    <w:rsid w:val="007E68EF"/>
    <w:rsid w:val="007E748A"/>
    <w:rsid w:val="007F0540"/>
    <w:rsid w:val="007F179F"/>
    <w:rsid w:val="007F194A"/>
    <w:rsid w:val="007F410F"/>
    <w:rsid w:val="00800FE1"/>
    <w:rsid w:val="00807AA1"/>
    <w:rsid w:val="00815994"/>
    <w:rsid w:val="008168ED"/>
    <w:rsid w:val="00820F04"/>
    <w:rsid w:val="0082611C"/>
    <w:rsid w:val="00831DED"/>
    <w:rsid w:val="00833ED2"/>
    <w:rsid w:val="0084011B"/>
    <w:rsid w:val="00851CFC"/>
    <w:rsid w:val="00856222"/>
    <w:rsid w:val="00863135"/>
    <w:rsid w:val="008706C8"/>
    <w:rsid w:val="008712A9"/>
    <w:rsid w:val="00871F4A"/>
    <w:rsid w:val="00874B9C"/>
    <w:rsid w:val="00875D25"/>
    <w:rsid w:val="008778A3"/>
    <w:rsid w:val="008802C4"/>
    <w:rsid w:val="00882B16"/>
    <w:rsid w:val="00883C40"/>
    <w:rsid w:val="00892179"/>
    <w:rsid w:val="00892CC1"/>
    <w:rsid w:val="00893A89"/>
    <w:rsid w:val="00895004"/>
    <w:rsid w:val="008962D8"/>
    <w:rsid w:val="00897A78"/>
    <w:rsid w:val="00897B06"/>
    <w:rsid w:val="008A0EE3"/>
    <w:rsid w:val="008B14E1"/>
    <w:rsid w:val="008B2AE2"/>
    <w:rsid w:val="008B3D08"/>
    <w:rsid w:val="008C2FA3"/>
    <w:rsid w:val="008C39A4"/>
    <w:rsid w:val="008C584E"/>
    <w:rsid w:val="008D321E"/>
    <w:rsid w:val="008D619B"/>
    <w:rsid w:val="008E246A"/>
    <w:rsid w:val="008E3905"/>
    <w:rsid w:val="008E51DC"/>
    <w:rsid w:val="008E540A"/>
    <w:rsid w:val="008E5BAD"/>
    <w:rsid w:val="008F1380"/>
    <w:rsid w:val="008F2AC7"/>
    <w:rsid w:val="009020C3"/>
    <w:rsid w:val="00904714"/>
    <w:rsid w:val="00905CC8"/>
    <w:rsid w:val="0090684D"/>
    <w:rsid w:val="00907FD2"/>
    <w:rsid w:val="00910F6B"/>
    <w:rsid w:val="00914FA2"/>
    <w:rsid w:val="00917AB6"/>
    <w:rsid w:val="00917AFB"/>
    <w:rsid w:val="00920CE5"/>
    <w:rsid w:val="00923CC9"/>
    <w:rsid w:val="00930045"/>
    <w:rsid w:val="00930C05"/>
    <w:rsid w:val="00930EB6"/>
    <w:rsid w:val="00932FED"/>
    <w:rsid w:val="00935431"/>
    <w:rsid w:val="009407D8"/>
    <w:rsid w:val="00944C0B"/>
    <w:rsid w:val="00944E6C"/>
    <w:rsid w:val="00955E4C"/>
    <w:rsid w:val="0095640B"/>
    <w:rsid w:val="00960799"/>
    <w:rsid w:val="009611FF"/>
    <w:rsid w:val="009672FD"/>
    <w:rsid w:val="009675B9"/>
    <w:rsid w:val="0097508F"/>
    <w:rsid w:val="00992AC3"/>
    <w:rsid w:val="009934B8"/>
    <w:rsid w:val="00993CAA"/>
    <w:rsid w:val="00994BE2"/>
    <w:rsid w:val="00995075"/>
    <w:rsid w:val="00995549"/>
    <w:rsid w:val="00997064"/>
    <w:rsid w:val="009A501D"/>
    <w:rsid w:val="009B774A"/>
    <w:rsid w:val="009B790D"/>
    <w:rsid w:val="009C1098"/>
    <w:rsid w:val="009C15E8"/>
    <w:rsid w:val="009C19B3"/>
    <w:rsid w:val="009D0765"/>
    <w:rsid w:val="009D0790"/>
    <w:rsid w:val="009D331C"/>
    <w:rsid w:val="009D462C"/>
    <w:rsid w:val="009D5007"/>
    <w:rsid w:val="009E2823"/>
    <w:rsid w:val="009F0BD2"/>
    <w:rsid w:val="009F4217"/>
    <w:rsid w:val="00A017F6"/>
    <w:rsid w:val="00A0428B"/>
    <w:rsid w:val="00A078B7"/>
    <w:rsid w:val="00A10839"/>
    <w:rsid w:val="00A10BAD"/>
    <w:rsid w:val="00A11E68"/>
    <w:rsid w:val="00A23931"/>
    <w:rsid w:val="00A25E09"/>
    <w:rsid w:val="00A306C3"/>
    <w:rsid w:val="00A311C3"/>
    <w:rsid w:val="00A31BBB"/>
    <w:rsid w:val="00A32E25"/>
    <w:rsid w:val="00A411A8"/>
    <w:rsid w:val="00A4216F"/>
    <w:rsid w:val="00A47C52"/>
    <w:rsid w:val="00A50365"/>
    <w:rsid w:val="00A50EBC"/>
    <w:rsid w:val="00A53908"/>
    <w:rsid w:val="00A646D3"/>
    <w:rsid w:val="00A73BA3"/>
    <w:rsid w:val="00A754A1"/>
    <w:rsid w:val="00A777CD"/>
    <w:rsid w:val="00A80D78"/>
    <w:rsid w:val="00A811D0"/>
    <w:rsid w:val="00A845F8"/>
    <w:rsid w:val="00A8514D"/>
    <w:rsid w:val="00A8615F"/>
    <w:rsid w:val="00A91307"/>
    <w:rsid w:val="00A91627"/>
    <w:rsid w:val="00A956F2"/>
    <w:rsid w:val="00A95964"/>
    <w:rsid w:val="00A95A5D"/>
    <w:rsid w:val="00AA1D58"/>
    <w:rsid w:val="00AA3A38"/>
    <w:rsid w:val="00AA3B46"/>
    <w:rsid w:val="00AA6670"/>
    <w:rsid w:val="00AB0F0A"/>
    <w:rsid w:val="00AB1779"/>
    <w:rsid w:val="00AB7911"/>
    <w:rsid w:val="00AC0CA4"/>
    <w:rsid w:val="00AC1A1D"/>
    <w:rsid w:val="00AC35F5"/>
    <w:rsid w:val="00AC4153"/>
    <w:rsid w:val="00AC58CF"/>
    <w:rsid w:val="00AD1E03"/>
    <w:rsid w:val="00AD4284"/>
    <w:rsid w:val="00AD661A"/>
    <w:rsid w:val="00AE19A2"/>
    <w:rsid w:val="00AE4237"/>
    <w:rsid w:val="00AF4F55"/>
    <w:rsid w:val="00B0178B"/>
    <w:rsid w:val="00B01DBF"/>
    <w:rsid w:val="00B02B9B"/>
    <w:rsid w:val="00B03395"/>
    <w:rsid w:val="00B051D1"/>
    <w:rsid w:val="00B07E89"/>
    <w:rsid w:val="00B1738A"/>
    <w:rsid w:val="00B23C4C"/>
    <w:rsid w:val="00B2557D"/>
    <w:rsid w:val="00B260F5"/>
    <w:rsid w:val="00B33974"/>
    <w:rsid w:val="00B3744C"/>
    <w:rsid w:val="00B4200C"/>
    <w:rsid w:val="00B5740E"/>
    <w:rsid w:val="00B62C9B"/>
    <w:rsid w:val="00B62D08"/>
    <w:rsid w:val="00B63B5D"/>
    <w:rsid w:val="00B63EF4"/>
    <w:rsid w:val="00B64387"/>
    <w:rsid w:val="00B669EC"/>
    <w:rsid w:val="00B676F6"/>
    <w:rsid w:val="00B81A9C"/>
    <w:rsid w:val="00B82B34"/>
    <w:rsid w:val="00B83E08"/>
    <w:rsid w:val="00B84485"/>
    <w:rsid w:val="00B861B4"/>
    <w:rsid w:val="00B86809"/>
    <w:rsid w:val="00B91ADE"/>
    <w:rsid w:val="00B97E61"/>
    <w:rsid w:val="00BA128D"/>
    <w:rsid w:val="00BA307D"/>
    <w:rsid w:val="00BA4182"/>
    <w:rsid w:val="00BA5B0F"/>
    <w:rsid w:val="00BA6094"/>
    <w:rsid w:val="00BA7A02"/>
    <w:rsid w:val="00BB59D3"/>
    <w:rsid w:val="00BB5A4B"/>
    <w:rsid w:val="00BC1616"/>
    <w:rsid w:val="00BC6C75"/>
    <w:rsid w:val="00BD0F96"/>
    <w:rsid w:val="00BD3D8C"/>
    <w:rsid w:val="00BD671A"/>
    <w:rsid w:val="00BD70E3"/>
    <w:rsid w:val="00BE386E"/>
    <w:rsid w:val="00BE44D7"/>
    <w:rsid w:val="00BE561A"/>
    <w:rsid w:val="00BE7F2C"/>
    <w:rsid w:val="00BF1015"/>
    <w:rsid w:val="00BF133E"/>
    <w:rsid w:val="00BF4D87"/>
    <w:rsid w:val="00BF4E55"/>
    <w:rsid w:val="00C003C5"/>
    <w:rsid w:val="00C00DC3"/>
    <w:rsid w:val="00C02519"/>
    <w:rsid w:val="00C12ACE"/>
    <w:rsid w:val="00C13DDE"/>
    <w:rsid w:val="00C16259"/>
    <w:rsid w:val="00C16CA1"/>
    <w:rsid w:val="00C22A2A"/>
    <w:rsid w:val="00C33358"/>
    <w:rsid w:val="00C345F7"/>
    <w:rsid w:val="00C3648C"/>
    <w:rsid w:val="00C36E1B"/>
    <w:rsid w:val="00C416EC"/>
    <w:rsid w:val="00C4421E"/>
    <w:rsid w:val="00C46AEA"/>
    <w:rsid w:val="00C507A2"/>
    <w:rsid w:val="00C517D1"/>
    <w:rsid w:val="00C55127"/>
    <w:rsid w:val="00C563F5"/>
    <w:rsid w:val="00C570ED"/>
    <w:rsid w:val="00C605A8"/>
    <w:rsid w:val="00C63E3B"/>
    <w:rsid w:val="00C66CBF"/>
    <w:rsid w:val="00C67A87"/>
    <w:rsid w:val="00C84903"/>
    <w:rsid w:val="00C85C62"/>
    <w:rsid w:val="00C86776"/>
    <w:rsid w:val="00CA1003"/>
    <w:rsid w:val="00CA1B84"/>
    <w:rsid w:val="00CA6237"/>
    <w:rsid w:val="00CA6C9D"/>
    <w:rsid w:val="00CC0A9E"/>
    <w:rsid w:val="00CC4341"/>
    <w:rsid w:val="00CC66FC"/>
    <w:rsid w:val="00CC7B0C"/>
    <w:rsid w:val="00CD2FD1"/>
    <w:rsid w:val="00CE2BA8"/>
    <w:rsid w:val="00CE4059"/>
    <w:rsid w:val="00CE7CDF"/>
    <w:rsid w:val="00CF182E"/>
    <w:rsid w:val="00CF1B52"/>
    <w:rsid w:val="00CF32E6"/>
    <w:rsid w:val="00CF3864"/>
    <w:rsid w:val="00CF3EB2"/>
    <w:rsid w:val="00CF4F5E"/>
    <w:rsid w:val="00CF7F7F"/>
    <w:rsid w:val="00D07F7D"/>
    <w:rsid w:val="00D1032B"/>
    <w:rsid w:val="00D10DAA"/>
    <w:rsid w:val="00D15DB0"/>
    <w:rsid w:val="00D16FE7"/>
    <w:rsid w:val="00D20643"/>
    <w:rsid w:val="00D20DAF"/>
    <w:rsid w:val="00D242F6"/>
    <w:rsid w:val="00D26016"/>
    <w:rsid w:val="00D318CC"/>
    <w:rsid w:val="00D32D0E"/>
    <w:rsid w:val="00D354D7"/>
    <w:rsid w:val="00D354E3"/>
    <w:rsid w:val="00D43C09"/>
    <w:rsid w:val="00D45DB6"/>
    <w:rsid w:val="00D46C85"/>
    <w:rsid w:val="00D47121"/>
    <w:rsid w:val="00D55959"/>
    <w:rsid w:val="00D6085B"/>
    <w:rsid w:val="00D653B7"/>
    <w:rsid w:val="00D6561B"/>
    <w:rsid w:val="00D65CD1"/>
    <w:rsid w:val="00D6626A"/>
    <w:rsid w:val="00D66559"/>
    <w:rsid w:val="00D71C86"/>
    <w:rsid w:val="00D749C3"/>
    <w:rsid w:val="00D75E79"/>
    <w:rsid w:val="00D766CF"/>
    <w:rsid w:val="00D82595"/>
    <w:rsid w:val="00D8337A"/>
    <w:rsid w:val="00D86563"/>
    <w:rsid w:val="00DA1F76"/>
    <w:rsid w:val="00DA71B8"/>
    <w:rsid w:val="00DB31EB"/>
    <w:rsid w:val="00DB4F38"/>
    <w:rsid w:val="00DB501F"/>
    <w:rsid w:val="00DB52DA"/>
    <w:rsid w:val="00DB5404"/>
    <w:rsid w:val="00DB5615"/>
    <w:rsid w:val="00DB6955"/>
    <w:rsid w:val="00DB71A3"/>
    <w:rsid w:val="00DC27A4"/>
    <w:rsid w:val="00DC2B49"/>
    <w:rsid w:val="00DC41DE"/>
    <w:rsid w:val="00DC55BE"/>
    <w:rsid w:val="00DC7AA9"/>
    <w:rsid w:val="00DD38D4"/>
    <w:rsid w:val="00DD40DC"/>
    <w:rsid w:val="00DD76A6"/>
    <w:rsid w:val="00DE0AAE"/>
    <w:rsid w:val="00DE1468"/>
    <w:rsid w:val="00DE3D29"/>
    <w:rsid w:val="00DF2D8E"/>
    <w:rsid w:val="00DF41DF"/>
    <w:rsid w:val="00DF60E7"/>
    <w:rsid w:val="00E011F1"/>
    <w:rsid w:val="00E04531"/>
    <w:rsid w:val="00E11AC7"/>
    <w:rsid w:val="00E14484"/>
    <w:rsid w:val="00E14953"/>
    <w:rsid w:val="00E16EF6"/>
    <w:rsid w:val="00E20810"/>
    <w:rsid w:val="00E247AA"/>
    <w:rsid w:val="00E2796E"/>
    <w:rsid w:val="00E33F6D"/>
    <w:rsid w:val="00E37860"/>
    <w:rsid w:val="00E4035B"/>
    <w:rsid w:val="00E422ED"/>
    <w:rsid w:val="00E53EF0"/>
    <w:rsid w:val="00E566CA"/>
    <w:rsid w:val="00E57911"/>
    <w:rsid w:val="00E67093"/>
    <w:rsid w:val="00E67DE4"/>
    <w:rsid w:val="00E7020B"/>
    <w:rsid w:val="00E76FAF"/>
    <w:rsid w:val="00E83BAC"/>
    <w:rsid w:val="00E84763"/>
    <w:rsid w:val="00E87CEC"/>
    <w:rsid w:val="00E91D72"/>
    <w:rsid w:val="00E97CE1"/>
    <w:rsid w:val="00E97F13"/>
    <w:rsid w:val="00EA17D4"/>
    <w:rsid w:val="00EA3E22"/>
    <w:rsid w:val="00EA4306"/>
    <w:rsid w:val="00EA433C"/>
    <w:rsid w:val="00EA58BE"/>
    <w:rsid w:val="00EA7E05"/>
    <w:rsid w:val="00EB2240"/>
    <w:rsid w:val="00EB5B94"/>
    <w:rsid w:val="00EC06C5"/>
    <w:rsid w:val="00EC40D3"/>
    <w:rsid w:val="00EC4373"/>
    <w:rsid w:val="00ED12B3"/>
    <w:rsid w:val="00ED1C75"/>
    <w:rsid w:val="00ED26DD"/>
    <w:rsid w:val="00ED39D5"/>
    <w:rsid w:val="00ED49E6"/>
    <w:rsid w:val="00EE4833"/>
    <w:rsid w:val="00EE6C10"/>
    <w:rsid w:val="00EE7193"/>
    <w:rsid w:val="00EE764C"/>
    <w:rsid w:val="00EF1A04"/>
    <w:rsid w:val="00EF1D51"/>
    <w:rsid w:val="00EF55CC"/>
    <w:rsid w:val="00F01A3C"/>
    <w:rsid w:val="00F01AA2"/>
    <w:rsid w:val="00F0278C"/>
    <w:rsid w:val="00F02EAA"/>
    <w:rsid w:val="00F04729"/>
    <w:rsid w:val="00F12246"/>
    <w:rsid w:val="00F1344A"/>
    <w:rsid w:val="00F1510F"/>
    <w:rsid w:val="00F220A7"/>
    <w:rsid w:val="00F236AC"/>
    <w:rsid w:val="00F23D58"/>
    <w:rsid w:val="00F26409"/>
    <w:rsid w:val="00F303FB"/>
    <w:rsid w:val="00F33D28"/>
    <w:rsid w:val="00F36CC6"/>
    <w:rsid w:val="00F375A3"/>
    <w:rsid w:val="00F4222F"/>
    <w:rsid w:val="00F46958"/>
    <w:rsid w:val="00F46E88"/>
    <w:rsid w:val="00F50FA9"/>
    <w:rsid w:val="00F5304F"/>
    <w:rsid w:val="00F542BA"/>
    <w:rsid w:val="00F61F6E"/>
    <w:rsid w:val="00F672D4"/>
    <w:rsid w:val="00F67AFC"/>
    <w:rsid w:val="00F72170"/>
    <w:rsid w:val="00F761C2"/>
    <w:rsid w:val="00F82261"/>
    <w:rsid w:val="00F82F27"/>
    <w:rsid w:val="00FA0B2E"/>
    <w:rsid w:val="00FA2743"/>
    <w:rsid w:val="00FC0F12"/>
    <w:rsid w:val="00FC1759"/>
    <w:rsid w:val="00FC5319"/>
    <w:rsid w:val="00FC5AC0"/>
    <w:rsid w:val="00FD2ADF"/>
    <w:rsid w:val="00FD516B"/>
    <w:rsid w:val="00FD5971"/>
    <w:rsid w:val="00FD5B66"/>
    <w:rsid w:val="00FD7468"/>
    <w:rsid w:val="00FE2597"/>
    <w:rsid w:val="00FE274C"/>
    <w:rsid w:val="00FE3E07"/>
    <w:rsid w:val="00FE64BC"/>
    <w:rsid w:val="00FF0425"/>
    <w:rsid w:val="00FF2EB1"/>
    <w:rsid w:val="00FF4FC8"/>
    <w:rsid w:val="069F65E8"/>
    <w:rsid w:val="0CF06308"/>
    <w:rsid w:val="0E07A953"/>
    <w:rsid w:val="11265918"/>
    <w:rsid w:val="1F91E397"/>
    <w:rsid w:val="20C1232A"/>
    <w:rsid w:val="27A5F435"/>
    <w:rsid w:val="2A91C2D0"/>
    <w:rsid w:val="4044B0D4"/>
    <w:rsid w:val="40CD1225"/>
    <w:rsid w:val="49D76C54"/>
    <w:rsid w:val="52994A75"/>
    <w:rsid w:val="7619D1E8"/>
    <w:rsid w:val="7F7256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7403C"/>
  <w15:docId w15:val="{E91F4106-5DBD-40A2-B3D3-A0B4C206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E566CA"/>
    <w:pPr>
      <w:widowControl w:val="0"/>
      <w:spacing w:before="360" w:after="72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E566CA"/>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4"/>
      </w:numPr>
      <w:spacing w:before="120" w:after="120"/>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CA6C9D"/>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FE2597"/>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customStyle="1" w:styleId="Tablenumberedlist2">
    <w:name w:val="Table numbered list 2"/>
    <w:basedOn w:val="TableText"/>
    <w:qFormat/>
    <w:rsid w:val="0071381A"/>
    <w:pPr>
      <w:numPr>
        <w:ilvl w:val="1"/>
        <w:numId w:val="13"/>
      </w:numPr>
    </w:pPr>
  </w:style>
  <w:style w:type="paragraph" w:customStyle="1" w:styleId="Tablenumberedlist3">
    <w:name w:val="Table numbered list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paragraph" w:styleId="Revision">
    <w:name w:val="Revision"/>
    <w:hidden/>
    <w:uiPriority w:val="99"/>
    <w:semiHidden/>
    <w:rsid w:val="00DF60E7"/>
    <w:rPr>
      <w:rFonts w:asciiTheme="minorHAnsi" w:eastAsiaTheme="minorHAnsi" w:hAnsiTheme="minorHAnsi" w:cstheme="minorBidi"/>
      <w:sz w:val="22"/>
      <w:szCs w:val="22"/>
      <w:lang w:eastAsia="en-US"/>
    </w:rPr>
  </w:style>
  <w:style w:type="character" w:customStyle="1" w:styleId="cf01">
    <w:name w:val="cf01"/>
    <w:basedOn w:val="DefaultParagraphFont"/>
    <w:rsid w:val="006C19E4"/>
    <w:rPr>
      <w:rFonts w:ascii="Segoe UI" w:hAnsi="Segoe UI" w:cs="Segoe UI" w:hint="default"/>
      <w:sz w:val="18"/>
      <w:szCs w:val="18"/>
    </w:rPr>
  </w:style>
  <w:style w:type="character" w:customStyle="1" w:styleId="cf11">
    <w:name w:val="cf11"/>
    <w:basedOn w:val="DefaultParagraphFont"/>
    <w:rsid w:val="006C19E4"/>
    <w:rPr>
      <w:rFonts w:ascii="Segoe UI" w:hAnsi="Segoe UI" w:cs="Segoe UI" w:hint="default"/>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biosecurity.gov.au/about/national-biosecurity-committee/nbs"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griculture.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osecurity.gov.au/about/national-biosecurity-committee/nbs" TargetMode="External"/><Relationship Id="rId2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2BB690FEB1543B47B4C65926B878E" ma:contentTypeVersion="20" ma:contentTypeDescription="Create a new document." ma:contentTypeScope="" ma:versionID="bb60f528dfe675d39cd1a3891e214537">
  <xsd:schema xmlns:xsd="http://www.w3.org/2001/XMLSchema" xmlns:xs="http://www.w3.org/2001/XMLSchema" xmlns:p="http://schemas.microsoft.com/office/2006/metadata/properties" xmlns:ns2="b315befb-c355-44cf-98bc-fbbc18794b04" xmlns:ns3="0802d0eb-7bad-4cd2-a72b-adb0d3226537" xmlns:ns4="81c01dc6-2c49-4730-b140-874c95cac377" targetNamespace="http://schemas.microsoft.com/office/2006/metadata/properties" ma:root="true" ma:fieldsID="f976f0aa5a70e71a22046d1d9ae8ce7e" ns2:_="" ns3:_="" ns4:_="">
    <xsd:import namespace="b315befb-c355-44cf-98bc-fbbc18794b04"/>
    <xsd:import namespace="0802d0eb-7bad-4cd2-a72b-adb0d322653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ink"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5befb-c355-44cf-98bc-fbbc18794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ink" ma:index="14" nillable="true" ma:displayName="Link" ma:description="hyperlink to original"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2d0eb-7bad-4cd2-a72b-adb0d32265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3adab7-894b-425a-aa0e-3a65dbb3c8ef}" ma:internalName="TaxCatchAll" ma:showField="CatchAllData" ma:web="0802d0eb-7bad-4cd2-a72b-adb0d32265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Link xmlns="b315befb-c355-44cf-98bc-fbbc18794b04">
      <Url xsi:nil="true"/>
      <Description xsi:nil="true"/>
    </Link>
    <TaxCatchAll xmlns="81c01dc6-2c49-4730-b140-874c95cac377" xsi:nil="true"/>
    <lcf76f155ced4ddcb4097134ff3c332f xmlns="b315befb-c355-44cf-98bc-fbbc18794b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3BFF18B2-B8A9-4316-AA22-27ACE5636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5befb-c355-44cf-98bc-fbbc18794b04"/>
    <ds:schemaRef ds:uri="0802d0eb-7bad-4cd2-a72b-adb0d322653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b315befb-c355-44cf-98bc-fbbc18794b04"/>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Report_template_1</Template>
  <TotalTime>7</TotalTime>
  <Pages>23</Pages>
  <Words>7132</Words>
  <Characters>40653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National Biosecurity Strategy Action Plan 2024: Connected, Resilient, Shared</vt:lpstr>
    </vt:vector>
  </TitlesOfParts>
  <Company/>
  <LinksUpToDate>false</LinksUpToDate>
  <CharactersWithSpaces>47690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Biosecurity Strategy Action Plan 2024: Connected, Resilient, Shared</dc:title>
  <dc:subject/>
  <dc:creator>National Biosecurity Strategy Implementation Committee</dc:creator>
  <cp:keywords/>
  <cp:lastModifiedBy>McAdie, Rhiannon</cp:lastModifiedBy>
  <cp:revision>12</cp:revision>
  <cp:lastPrinted>2024-07-31T21:09:00Z</cp:lastPrinted>
  <dcterms:created xsi:type="dcterms:W3CDTF">2024-11-29T01:43:00Z</dcterms:created>
  <dcterms:modified xsi:type="dcterms:W3CDTF">2024-12-22T21:43:00Z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0x010100C3E2BB690FEB1543B47B4C65926B878E</vt:lpwstr>
  </property>
  <property fmtid="{D5CDD505-2E9C-101B-9397-08002B2CF9AE}" pid="3" name="ClassificationContentMarkingHeaderShapeIds">
    <vt:lpwstr>608e1b88,3ad7fdd8,7444fd5b</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8d70cd,6a0c1f8e,f055d4a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2024-02-26T05:31:16Z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f2315ad5-223c-42ef-ae49-8e632c168e07</vt:lpwstr>
  </property>
  <property fmtid="{D5CDD505-2E9C-101B-9397-08002B2CF9AE}" pid="15" name="MSIP_Label_933d8be6-3c40-4052-87a2-9c2adcba8759_ContentBits">
    <vt:lpwstr>3</vt:lpwstr>
  </property>
  <property fmtid="{D5CDD505-2E9C-101B-9397-08002B2CF9AE}" pid="16" name="MediaServiceImageTags">
    <vt:lpwstr/>
  </property>
</Properties>
</file>